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A97" w:rsidRPr="007132D5" w:rsidRDefault="0096094B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132D5">
        <w:rPr>
          <w:rFonts w:ascii="Verdana" w:hAnsi="Verdana"/>
          <w:b/>
          <w:sz w:val="32"/>
          <w:lang w:val="pl-PL"/>
        </w:rPr>
        <w:t>Komunikat prasowy</w:t>
      </w:r>
    </w:p>
    <w:p w:rsidR="00904A97" w:rsidRPr="007132D5" w:rsidRDefault="00904A97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rFonts w:ascii="Verdana" w:hAnsi="Verdana"/>
          <w:szCs w:val="22"/>
          <w:lang w:val="pl-PL"/>
        </w:rPr>
      </w:pPr>
    </w:p>
    <w:p w:rsidR="00904A97" w:rsidRPr="007132D5" w:rsidRDefault="00904A97">
      <w:pPr>
        <w:spacing w:line="276" w:lineRule="auto"/>
        <w:jc w:val="both"/>
        <w:rPr>
          <w:rStyle w:val="Uwydatnienie"/>
          <w:rFonts w:ascii="Verdana" w:hAnsi="Verdana"/>
          <w:i w:val="0"/>
          <w:szCs w:val="22"/>
          <w:lang w:val="pl-PL"/>
        </w:rPr>
      </w:pPr>
    </w:p>
    <w:p w:rsidR="00904A97" w:rsidRPr="007132D5" w:rsidRDefault="0096094B">
      <w:pPr>
        <w:rPr>
          <w:rFonts w:ascii="Verdana" w:hAnsi="Verdana"/>
          <w:b/>
          <w:sz w:val="28"/>
          <w:szCs w:val="28"/>
          <w:lang w:val="pl-PL"/>
        </w:rPr>
      </w:pPr>
      <w:r w:rsidRPr="007132D5">
        <w:rPr>
          <w:rFonts w:ascii="Verdana" w:hAnsi="Verdana"/>
          <w:b/>
          <w:sz w:val="28"/>
          <w:szCs w:val="28"/>
          <w:lang w:val="pl-PL"/>
        </w:rPr>
        <w:t>John Deere dodaje nowe flagowe ciągniki do serii 6R</w:t>
      </w:r>
    </w:p>
    <w:p w:rsidR="00904A97" w:rsidRPr="007132D5" w:rsidRDefault="00904A97">
      <w:pPr>
        <w:rPr>
          <w:rFonts w:ascii="Verdana" w:hAnsi="Verdana"/>
          <w:szCs w:val="22"/>
          <w:lang w:val="pl-PL"/>
        </w:rPr>
      </w:pPr>
    </w:p>
    <w:p w:rsidR="00904A97" w:rsidRPr="00F857C5" w:rsidRDefault="003B321B">
      <w:pPr>
        <w:spacing w:line="276" w:lineRule="auto"/>
        <w:jc w:val="both"/>
        <w:rPr>
          <w:rFonts w:ascii="Verdana" w:hAnsi="Verdana"/>
          <w:b/>
          <w:lang w:val="pl-PL"/>
        </w:rPr>
      </w:pPr>
      <w:r>
        <w:rPr>
          <w:rFonts w:ascii="Verdana" w:hAnsi="Verdana"/>
          <w:i/>
          <w:lang w:val="pl-PL"/>
        </w:rPr>
        <w:t>Mannheim, 01 grudnia</w:t>
      </w:r>
      <w:bookmarkStart w:id="0" w:name="_GoBack"/>
      <w:bookmarkEnd w:id="0"/>
      <w:r w:rsidR="0096094B" w:rsidRPr="007132D5">
        <w:rPr>
          <w:rFonts w:ascii="Verdana" w:hAnsi="Verdana"/>
          <w:i/>
          <w:lang w:val="pl-PL"/>
        </w:rPr>
        <w:t xml:space="preserve"> 2016</w:t>
      </w:r>
      <w:r w:rsidR="0096094B" w:rsidRPr="007132D5">
        <w:rPr>
          <w:rFonts w:ascii="Verdana" w:hAnsi="Verdana"/>
          <w:lang w:val="pl-PL"/>
        </w:rPr>
        <w:t xml:space="preserve"> – </w:t>
      </w:r>
      <w:r w:rsidR="0096094B" w:rsidRPr="00F857C5">
        <w:rPr>
          <w:rFonts w:ascii="Verdana" w:hAnsi="Verdana"/>
          <w:b/>
          <w:lang w:val="pl-PL"/>
        </w:rPr>
        <w:t xml:space="preserve">John Deere wprowadza dwa nowe sześciocylindrowe modele ciągników </w:t>
      </w:r>
      <w:r w:rsidR="009A0CF7" w:rsidRPr="00F857C5">
        <w:rPr>
          <w:rFonts w:ascii="Verdana" w:hAnsi="Verdana"/>
          <w:b/>
          <w:lang w:val="pl-PL"/>
        </w:rPr>
        <w:t>o najwyższym poziomie</w:t>
      </w:r>
      <w:r w:rsidR="0096094B" w:rsidRPr="00F857C5">
        <w:rPr>
          <w:rFonts w:ascii="Verdana" w:hAnsi="Verdana"/>
          <w:b/>
          <w:lang w:val="pl-PL"/>
        </w:rPr>
        <w:t xml:space="preserve"> mocy 230</w:t>
      </w:r>
      <w:r w:rsidR="00F857C5">
        <w:rPr>
          <w:rFonts w:ascii="Verdana" w:hAnsi="Verdana"/>
          <w:b/>
          <w:lang w:val="pl-PL"/>
        </w:rPr>
        <w:t xml:space="preserve"> </w:t>
      </w:r>
      <w:r w:rsidR="0096094B" w:rsidRPr="00F857C5">
        <w:rPr>
          <w:rFonts w:ascii="Verdana" w:hAnsi="Verdana"/>
          <w:b/>
          <w:lang w:val="pl-PL"/>
        </w:rPr>
        <w:t>i 250 KM (97/68/WE), skonstruowane z myślą o potrzebach usługodawców i właścicieli upraw. Modele 6230R i 6250R poszerzą serię ciągników John Deere 6R w 2017 roku.</w:t>
      </w:r>
    </w:p>
    <w:p w:rsidR="00904A97" w:rsidRPr="007132D5" w:rsidRDefault="00904A97">
      <w:pPr>
        <w:spacing w:line="276" w:lineRule="auto"/>
        <w:jc w:val="both"/>
        <w:rPr>
          <w:rFonts w:ascii="Verdana" w:hAnsi="Verdana" w:cs="Helvetica"/>
          <w:color w:val="000000" w:themeColor="text1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 w:cs="Helvetica"/>
          <w:color w:val="000000" w:themeColor="text1"/>
          <w:lang w:val="pl-PL"/>
        </w:rPr>
      </w:pPr>
      <w:r w:rsidRPr="007132D5">
        <w:rPr>
          <w:rFonts w:ascii="Verdana" w:hAnsi="Verdana" w:cs="Helvetica"/>
          <w:color w:val="000000" w:themeColor="text1"/>
          <w:lang w:val="pl-PL"/>
        </w:rPr>
        <w:t xml:space="preserve">6230R i 6250R ustanawiają nowe standardy transportu, wygody operatora i przyspieszenia na drodze. Dzięki dodatkowej mocy silnika wynoszącej 50 KM </w:t>
      </w:r>
      <w:r w:rsidR="009A0CF7">
        <w:rPr>
          <w:rFonts w:ascii="Verdana" w:hAnsi="Verdana" w:cs="Helvetica"/>
          <w:color w:val="000000" w:themeColor="text1"/>
          <w:lang w:val="pl-PL"/>
        </w:rPr>
        <w:t>za pomocą</w:t>
      </w:r>
      <w:r w:rsidRPr="007132D5">
        <w:rPr>
          <w:rFonts w:ascii="Verdana" w:hAnsi="Verdana" w:cs="Helvetica"/>
          <w:color w:val="000000" w:themeColor="text1"/>
          <w:lang w:val="pl-PL"/>
        </w:rPr>
        <w:t xml:space="preserve"> inteligentnego zarządzania mocą (IPM)</w:t>
      </w:r>
      <w:r w:rsidR="00F857C5">
        <w:rPr>
          <w:rFonts w:ascii="Verdana" w:hAnsi="Verdana" w:cs="Helvetica"/>
          <w:color w:val="000000" w:themeColor="text1"/>
          <w:lang w:val="pl-PL"/>
        </w:rPr>
        <w:t>,</w:t>
      </w:r>
      <w:r w:rsidRPr="007132D5">
        <w:rPr>
          <w:rFonts w:ascii="Verdana" w:hAnsi="Verdana" w:cs="Helvetica"/>
          <w:color w:val="000000" w:themeColor="text1"/>
          <w:lang w:val="pl-PL"/>
        </w:rPr>
        <w:t xml:space="preserve"> flagowy ciągnik 6250R dostarcza w razie potrzeby nawet 300 KM. Ważący zaledwie 9,3 tony 6250R dostarcza więcej mocy niż jakikolwiek inny ciągnik o </w:t>
      </w:r>
      <w:r w:rsidRPr="00166D30">
        <w:rPr>
          <w:rFonts w:ascii="Verdana" w:hAnsi="Verdana" w:cs="Helvetica"/>
          <w:color w:val="000000" w:themeColor="text1"/>
          <w:lang w:val="pl-PL"/>
        </w:rPr>
        <w:t xml:space="preserve">porównywalnej masie, przy niezrównanym stosunku </w:t>
      </w:r>
      <w:r w:rsidR="009A0CF7" w:rsidRPr="00166D30">
        <w:rPr>
          <w:rFonts w:ascii="Verdana" w:hAnsi="Verdana" w:cs="Helvetica"/>
          <w:color w:val="000000" w:themeColor="text1"/>
          <w:lang w:val="pl-PL"/>
        </w:rPr>
        <w:t>m</w:t>
      </w:r>
      <w:r w:rsidRPr="00166D30">
        <w:rPr>
          <w:rFonts w:ascii="Verdana" w:hAnsi="Verdana" w:cs="Helvetica"/>
          <w:color w:val="000000" w:themeColor="text1"/>
          <w:lang w:val="pl-PL"/>
        </w:rPr>
        <w:t>asy</w:t>
      </w:r>
      <w:r w:rsidR="009A0CF7" w:rsidRPr="00166D30">
        <w:rPr>
          <w:rFonts w:ascii="Verdana" w:hAnsi="Verdana" w:cs="Helvetica"/>
          <w:color w:val="000000" w:themeColor="text1"/>
          <w:lang w:val="pl-PL"/>
        </w:rPr>
        <w:t xml:space="preserve"> do mocy</w:t>
      </w:r>
      <w:r w:rsidRPr="00166D30">
        <w:rPr>
          <w:rFonts w:ascii="Verdana" w:hAnsi="Verdana" w:cs="Helvetica"/>
          <w:color w:val="000000" w:themeColor="text1"/>
          <w:lang w:val="pl-PL"/>
        </w:rPr>
        <w:t xml:space="preserve"> 31 kg/KM. Dzięki maksymalnej dopuszczalnej masie wynoszącej aż 15 ton ciągnik posiada ładowność 5,7 ton, co oznacza, że można nim przewozić cięższe ładunki.</w:t>
      </w:r>
    </w:p>
    <w:p w:rsidR="00904A97" w:rsidRPr="007132D5" w:rsidRDefault="00904A97">
      <w:pPr>
        <w:spacing w:line="276" w:lineRule="auto"/>
        <w:jc w:val="both"/>
        <w:rPr>
          <w:rFonts w:ascii="Verdana" w:hAnsi="Verdana" w:cs="Helvetica"/>
          <w:color w:val="000000" w:themeColor="text1"/>
          <w:lang w:val="pl-PL"/>
        </w:rPr>
      </w:pPr>
    </w:p>
    <w:p w:rsidR="00166D30" w:rsidRPr="00166D30" w:rsidRDefault="0096094B" w:rsidP="00166D30">
      <w:pPr>
        <w:spacing w:line="276" w:lineRule="auto"/>
        <w:jc w:val="both"/>
        <w:rPr>
          <w:rFonts w:ascii="Verdana" w:hAnsi="Verdana"/>
          <w:lang w:val="pl-PL"/>
        </w:rPr>
      </w:pPr>
      <w:r w:rsidRPr="007132D5">
        <w:rPr>
          <w:rFonts w:ascii="Verdana" w:hAnsi="Verdana"/>
          <w:lang w:val="pl-PL"/>
        </w:rPr>
        <w:t xml:space="preserve">Oba nowe ciągniki wyposażone są w silnik </w:t>
      </w:r>
      <w:proofErr w:type="spellStart"/>
      <w:r w:rsidRPr="007132D5">
        <w:rPr>
          <w:rFonts w:ascii="Verdana" w:hAnsi="Verdana"/>
          <w:lang w:val="pl-PL"/>
        </w:rPr>
        <w:t>PowerTech</w:t>
      </w:r>
      <w:proofErr w:type="spellEnd"/>
      <w:r w:rsidRPr="007132D5">
        <w:rPr>
          <w:rFonts w:ascii="Verdana" w:hAnsi="Verdana"/>
          <w:lang w:val="pl-PL"/>
        </w:rPr>
        <w:t xml:space="preserve"> PSS o pojemności 6,8 litrów, z dwoma turbosprężarkami oraz zaawansowanymi technologiami filtra cząstek stałych (DPF) i selektywnej redukcji katalitycznej (SCR), który błyskawicznie reaguje na zmiany obciążenia, zużywając przy tym mniej paliwa i spełniając surowe normy emisji spalin </w:t>
      </w:r>
      <w:proofErr w:type="spellStart"/>
      <w:r w:rsidRPr="007132D5">
        <w:rPr>
          <w:rFonts w:ascii="Verdana" w:hAnsi="Verdana"/>
          <w:lang w:val="pl-PL"/>
        </w:rPr>
        <w:t>Stage</w:t>
      </w:r>
      <w:proofErr w:type="spellEnd"/>
      <w:r w:rsidRPr="007132D5">
        <w:rPr>
          <w:rFonts w:ascii="Verdana" w:hAnsi="Verdana"/>
          <w:lang w:val="pl-PL"/>
        </w:rPr>
        <w:t xml:space="preserve"> IV. Udoskonalona przekładnia </w:t>
      </w:r>
      <w:proofErr w:type="spellStart"/>
      <w:r w:rsidRPr="007132D5">
        <w:rPr>
          <w:rFonts w:ascii="Verdana" w:hAnsi="Verdana"/>
          <w:lang w:val="pl-PL"/>
        </w:rPr>
        <w:t>AutoPowr</w:t>
      </w:r>
      <w:proofErr w:type="spellEnd"/>
      <w:r w:rsidRPr="007132D5">
        <w:rPr>
          <w:rFonts w:ascii="Verdana" w:hAnsi="Verdana"/>
          <w:lang w:val="pl-PL"/>
        </w:rPr>
        <w:t xml:space="preserve"> zapewnia maksymalną wydajność, przekazując 100 procent mocy </w:t>
      </w:r>
      <w:r w:rsidRPr="00166D30">
        <w:rPr>
          <w:rFonts w:ascii="Verdana" w:hAnsi="Verdana"/>
          <w:lang w:val="pl-PL"/>
        </w:rPr>
        <w:t>mechanicznej</w:t>
      </w:r>
      <w:r w:rsidR="00166D30" w:rsidRPr="00166D30">
        <w:rPr>
          <w:rFonts w:ascii="Verdana" w:hAnsi="Verdana"/>
          <w:lang w:val="pl-PL"/>
        </w:rPr>
        <w:t xml:space="preserve"> w wielu zakresach prędkości</w:t>
      </w:r>
      <w:r w:rsidR="00166D30">
        <w:rPr>
          <w:rFonts w:ascii="Verdana" w:hAnsi="Verdana"/>
          <w:lang w:val="pl-PL"/>
        </w:rPr>
        <w:t xml:space="preserve"> jezdnej</w:t>
      </w:r>
      <w:r w:rsidR="00166D30" w:rsidRPr="00166D30">
        <w:rPr>
          <w:rFonts w:ascii="Verdana" w:hAnsi="Verdana"/>
          <w:lang w:val="pl-PL"/>
        </w:rPr>
        <w:t>.</w:t>
      </w:r>
    </w:p>
    <w:p w:rsidR="00904A97" w:rsidRDefault="0096094B" w:rsidP="00166D30">
      <w:pPr>
        <w:spacing w:line="276" w:lineRule="auto"/>
        <w:jc w:val="both"/>
        <w:rPr>
          <w:rFonts w:ascii="Verdana" w:hAnsi="Verdana"/>
          <w:lang w:val="pl-PL"/>
        </w:rPr>
      </w:pPr>
      <w:r w:rsidRPr="00166D30">
        <w:rPr>
          <w:rFonts w:ascii="Verdana" w:hAnsi="Verdana"/>
          <w:lang w:val="pl-PL"/>
        </w:rPr>
        <w:t>Po osiągnięciu maksymalnej prędkości jazdy obroty automatycznie spadają i utrzymywana jest prędkoś</w:t>
      </w:r>
      <w:r w:rsidR="007132D5" w:rsidRPr="00166D30">
        <w:rPr>
          <w:rFonts w:ascii="Verdana" w:hAnsi="Verdana"/>
          <w:lang w:val="pl-PL"/>
        </w:rPr>
        <w:t>ć</w:t>
      </w:r>
      <w:r w:rsidRPr="00166D30">
        <w:rPr>
          <w:rFonts w:ascii="Verdana" w:hAnsi="Verdana"/>
          <w:lang w:val="pl-PL"/>
        </w:rPr>
        <w:t xml:space="preserve"> 40 km/h przy 1300 </w:t>
      </w:r>
      <w:proofErr w:type="spellStart"/>
      <w:r w:rsidRPr="00166D30">
        <w:rPr>
          <w:rFonts w:ascii="Verdana" w:hAnsi="Verdana"/>
          <w:lang w:val="pl-PL"/>
        </w:rPr>
        <w:t>obr</w:t>
      </w:r>
      <w:proofErr w:type="spellEnd"/>
      <w:r w:rsidRPr="00166D30">
        <w:rPr>
          <w:rFonts w:ascii="Verdana" w:hAnsi="Verdana"/>
          <w:lang w:val="pl-PL"/>
        </w:rPr>
        <w:t>./min, co pozwala zmniejszyć zużycie paliwa.</w:t>
      </w:r>
    </w:p>
    <w:p w:rsidR="00EA5FBB" w:rsidRDefault="00EA5FBB" w:rsidP="00166D30">
      <w:pPr>
        <w:spacing w:line="276" w:lineRule="auto"/>
        <w:jc w:val="both"/>
        <w:rPr>
          <w:rFonts w:ascii="Verdana" w:hAnsi="Verdana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/>
          <w:lang w:val="pl-PL"/>
        </w:rPr>
      </w:pPr>
      <w:r w:rsidRPr="007132D5">
        <w:rPr>
          <w:rFonts w:ascii="Verdana" w:hAnsi="Verdana"/>
          <w:lang w:val="pl-PL"/>
        </w:rPr>
        <w:t xml:space="preserve">Maszyny te wyposażone są również w zupełnie nowy joystick </w:t>
      </w:r>
      <w:proofErr w:type="spellStart"/>
      <w:r w:rsidRPr="007132D5">
        <w:rPr>
          <w:rFonts w:ascii="Verdana" w:hAnsi="Verdana"/>
          <w:lang w:val="pl-PL"/>
        </w:rPr>
        <w:t>CommandPRO</w:t>
      </w:r>
      <w:proofErr w:type="spellEnd"/>
      <w:r w:rsidRPr="007132D5">
        <w:rPr>
          <w:rFonts w:ascii="Verdana" w:hAnsi="Verdana"/>
          <w:lang w:val="pl-PL"/>
        </w:rPr>
        <w:t xml:space="preserve"> wprowadzający niespotykany dotąd poziom ergonomii i wszechstronności w ciągnikach John Deere. Prędkość maksymalną można osiągnąć za jednym przesunięciem joy</w:t>
      </w:r>
      <w:r w:rsidR="007132D5">
        <w:rPr>
          <w:rFonts w:ascii="Verdana" w:hAnsi="Verdana"/>
          <w:lang w:val="pl-PL"/>
        </w:rPr>
        <w:t>sticka, a do sterowania podnośnikiem</w:t>
      </w:r>
      <w:r w:rsidRPr="007132D5">
        <w:rPr>
          <w:rFonts w:ascii="Verdana" w:hAnsi="Verdana"/>
          <w:lang w:val="pl-PL"/>
        </w:rPr>
        <w:t xml:space="preserve">, WOM, zaworami SCV, </w:t>
      </w:r>
      <w:proofErr w:type="spellStart"/>
      <w:r w:rsidRPr="007132D5">
        <w:rPr>
          <w:rFonts w:ascii="Verdana" w:hAnsi="Verdana"/>
          <w:lang w:val="pl-PL"/>
        </w:rPr>
        <w:t>AutoTrac</w:t>
      </w:r>
      <w:proofErr w:type="spellEnd"/>
      <w:r w:rsidRPr="007132D5">
        <w:rPr>
          <w:rFonts w:ascii="Verdana" w:hAnsi="Verdana"/>
          <w:lang w:val="pl-PL"/>
        </w:rPr>
        <w:t xml:space="preserve"> i innymi funkcjami służy 11 programowalnych przycisków. </w:t>
      </w:r>
      <w:proofErr w:type="spellStart"/>
      <w:r w:rsidRPr="007132D5">
        <w:rPr>
          <w:rFonts w:ascii="Verdana" w:hAnsi="Verdana"/>
          <w:lang w:val="pl-PL"/>
        </w:rPr>
        <w:t>CommandPRO</w:t>
      </w:r>
      <w:proofErr w:type="spellEnd"/>
      <w:r w:rsidRPr="007132D5">
        <w:rPr>
          <w:rFonts w:ascii="Verdana" w:hAnsi="Verdana"/>
          <w:lang w:val="pl-PL"/>
        </w:rPr>
        <w:t xml:space="preserve"> umożliwia sterowanie </w:t>
      </w:r>
      <w:r w:rsidR="00426EE1">
        <w:rPr>
          <w:rFonts w:ascii="Verdana" w:hAnsi="Verdana"/>
          <w:lang w:val="pl-PL"/>
        </w:rPr>
        <w:t>ciągnikiem</w:t>
      </w:r>
      <w:r w:rsidRPr="007132D5">
        <w:rPr>
          <w:rFonts w:ascii="Verdana" w:hAnsi="Verdana"/>
          <w:lang w:val="pl-PL"/>
        </w:rPr>
        <w:t xml:space="preserve"> przy prędkości maksymalnej aż po zatrzymanie </w:t>
      </w:r>
      <w:r w:rsidR="00426EE1">
        <w:rPr>
          <w:rFonts w:ascii="Verdana" w:hAnsi="Verdana"/>
          <w:lang w:val="pl-PL"/>
        </w:rPr>
        <w:t xml:space="preserve">za pomocą </w:t>
      </w:r>
      <w:r w:rsidRPr="007132D5">
        <w:rPr>
          <w:rFonts w:ascii="Verdana" w:hAnsi="Verdana"/>
          <w:lang w:val="pl-PL"/>
        </w:rPr>
        <w:t>proste</w:t>
      </w:r>
      <w:r w:rsidR="00426EE1">
        <w:rPr>
          <w:rFonts w:ascii="Verdana" w:hAnsi="Verdana"/>
          <w:lang w:val="pl-PL"/>
        </w:rPr>
        <w:t>go</w:t>
      </w:r>
      <w:r w:rsidRPr="007132D5">
        <w:rPr>
          <w:rFonts w:ascii="Verdana" w:hAnsi="Verdana"/>
          <w:lang w:val="pl-PL"/>
        </w:rPr>
        <w:t xml:space="preserve"> przesuni</w:t>
      </w:r>
      <w:r w:rsidR="00426EE1">
        <w:rPr>
          <w:rFonts w:ascii="Verdana" w:hAnsi="Verdana"/>
          <w:lang w:val="pl-PL"/>
        </w:rPr>
        <w:t>ęcia</w:t>
      </w:r>
      <w:r w:rsidRPr="007132D5">
        <w:rPr>
          <w:rFonts w:ascii="Verdana" w:hAnsi="Verdana"/>
          <w:lang w:val="pl-PL"/>
        </w:rPr>
        <w:t xml:space="preserve"> joysticka, a funkcja trybu pełzającego pozwala na poruszanie się z prędkością od 0 do 2 km/h</w:t>
      </w:r>
      <w:r w:rsidRPr="00C05B5C">
        <w:rPr>
          <w:rFonts w:ascii="Verdana" w:hAnsi="Verdana"/>
          <w:lang w:val="pl-PL"/>
        </w:rPr>
        <w:t xml:space="preserve">. Możliwe </w:t>
      </w:r>
      <w:r w:rsidRPr="00C05B5C">
        <w:rPr>
          <w:rFonts w:ascii="Verdana" w:hAnsi="Verdana"/>
          <w:lang w:val="pl-PL"/>
        </w:rPr>
        <w:lastRenderedPageBreak/>
        <w:t xml:space="preserve">jest równoczesne prowadzenie </w:t>
      </w:r>
      <w:r w:rsidR="00C05B5C" w:rsidRPr="00C05B5C">
        <w:rPr>
          <w:rFonts w:ascii="Verdana" w:hAnsi="Verdana"/>
          <w:lang w:val="pl-PL"/>
        </w:rPr>
        <w:t xml:space="preserve">przy pomocy joysticka i pedałów. Nie ma </w:t>
      </w:r>
      <w:r w:rsidRPr="00C05B5C">
        <w:rPr>
          <w:rFonts w:ascii="Verdana" w:hAnsi="Verdana"/>
          <w:lang w:val="pl-PL"/>
        </w:rPr>
        <w:t>potrzeby korzystania z </w:t>
      </w:r>
      <w:r w:rsidR="00C05B5C" w:rsidRPr="00C05B5C">
        <w:rPr>
          <w:rFonts w:ascii="Verdana" w:hAnsi="Verdana"/>
          <w:lang w:val="pl-PL"/>
        </w:rPr>
        <w:t xml:space="preserve">drugiego </w:t>
      </w:r>
      <w:r w:rsidRPr="00C05B5C">
        <w:rPr>
          <w:rFonts w:ascii="Verdana" w:hAnsi="Verdana"/>
          <w:lang w:val="pl-PL"/>
        </w:rPr>
        <w:t>joysticka do zewnętrznych narzędzi ISOBUS, ponieważ operator może obsługiwać je</w:t>
      </w:r>
      <w:r w:rsidR="00C05B5C" w:rsidRPr="00C05B5C">
        <w:rPr>
          <w:rFonts w:ascii="Verdana" w:hAnsi="Verdana"/>
          <w:lang w:val="pl-PL"/>
        </w:rPr>
        <w:t xml:space="preserve">dnym </w:t>
      </w:r>
      <w:r w:rsidRPr="00C05B5C">
        <w:rPr>
          <w:rFonts w:ascii="Verdana" w:hAnsi="Verdana"/>
          <w:lang w:val="pl-PL"/>
        </w:rPr>
        <w:t xml:space="preserve">równocześnie </w:t>
      </w:r>
      <w:r w:rsidR="00C05B5C" w:rsidRPr="00C05B5C">
        <w:rPr>
          <w:rFonts w:ascii="Verdana" w:hAnsi="Verdana"/>
          <w:lang w:val="pl-PL"/>
        </w:rPr>
        <w:t>ciągnik oraz narzędzie</w:t>
      </w:r>
      <w:r w:rsidRPr="00C05B5C">
        <w:rPr>
          <w:rFonts w:ascii="Verdana" w:hAnsi="Verdana"/>
          <w:lang w:val="pl-PL"/>
        </w:rPr>
        <w:t>.</w:t>
      </w:r>
    </w:p>
    <w:p w:rsidR="00904A97" w:rsidRPr="007132D5" w:rsidRDefault="00904A97">
      <w:pPr>
        <w:spacing w:line="276" w:lineRule="auto"/>
        <w:jc w:val="both"/>
        <w:rPr>
          <w:rFonts w:ascii="Verdana" w:hAnsi="Verdana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/>
          <w:szCs w:val="22"/>
          <w:lang w:val="pl-PL"/>
        </w:rPr>
      </w:pPr>
      <w:r w:rsidRPr="007132D5">
        <w:rPr>
          <w:rFonts w:ascii="Verdana" w:hAnsi="Verdana"/>
          <w:szCs w:val="22"/>
          <w:lang w:val="pl-PL"/>
        </w:rPr>
        <w:t>Dzięki układowi hydraulicznemu z kompensacją ciśnienia i przepływu</w:t>
      </w:r>
      <w:r w:rsidR="00EA5FBB">
        <w:rPr>
          <w:rFonts w:ascii="Verdana" w:hAnsi="Verdana"/>
          <w:szCs w:val="22"/>
          <w:lang w:val="pl-PL"/>
        </w:rPr>
        <w:t>,</w:t>
      </w:r>
      <w:r w:rsidRPr="007132D5">
        <w:rPr>
          <w:rFonts w:ascii="Verdana" w:hAnsi="Verdana"/>
          <w:szCs w:val="22"/>
          <w:lang w:val="pl-PL"/>
        </w:rPr>
        <w:t xml:space="preserve"> ciągniki serii 6R zapewniają imponujący przepływ maksymalny na poziomie 160 l/min przy 1500 </w:t>
      </w:r>
      <w:proofErr w:type="spellStart"/>
      <w:r w:rsidRPr="007132D5">
        <w:rPr>
          <w:rFonts w:ascii="Verdana" w:hAnsi="Verdana"/>
          <w:szCs w:val="22"/>
          <w:lang w:val="pl-PL"/>
        </w:rPr>
        <w:t>obr</w:t>
      </w:r>
      <w:proofErr w:type="spellEnd"/>
      <w:r w:rsidRPr="007132D5">
        <w:rPr>
          <w:rFonts w:ascii="Verdana" w:hAnsi="Verdana"/>
          <w:szCs w:val="22"/>
          <w:lang w:val="pl-PL"/>
        </w:rPr>
        <w:t xml:space="preserve">./min. Pozwala to oszczędzać paliwo nawet w najcięższych warunkach pracy układu hydraulicznego. </w:t>
      </w:r>
      <w:r w:rsidRPr="00166D30">
        <w:rPr>
          <w:rFonts w:ascii="Verdana" w:hAnsi="Verdana"/>
          <w:szCs w:val="22"/>
          <w:lang w:val="pl-PL"/>
        </w:rPr>
        <w:t xml:space="preserve">Aż sześć </w:t>
      </w:r>
      <w:r w:rsidR="00166D30" w:rsidRPr="00166D30">
        <w:rPr>
          <w:rFonts w:ascii="Verdana" w:hAnsi="Verdana"/>
          <w:szCs w:val="22"/>
          <w:lang w:val="pl-PL"/>
        </w:rPr>
        <w:t xml:space="preserve">par </w:t>
      </w:r>
      <w:r w:rsidRPr="00166D30">
        <w:rPr>
          <w:rFonts w:ascii="Verdana" w:hAnsi="Verdana"/>
          <w:szCs w:val="22"/>
          <w:lang w:val="pl-PL"/>
        </w:rPr>
        <w:t>zaworów SCV z indywi</w:t>
      </w:r>
      <w:r w:rsidR="007132D5" w:rsidRPr="00166D30">
        <w:rPr>
          <w:rFonts w:ascii="Verdana" w:hAnsi="Verdana"/>
          <w:szCs w:val="22"/>
          <w:lang w:val="pl-PL"/>
        </w:rPr>
        <w:t>dualnymi dźwigniami</w:t>
      </w:r>
      <w:r w:rsidRPr="00166D30">
        <w:rPr>
          <w:rFonts w:ascii="Verdana" w:hAnsi="Verdana"/>
          <w:szCs w:val="22"/>
          <w:lang w:val="pl-PL"/>
        </w:rPr>
        <w:t xml:space="preserve"> zostało umieszczonych w jednym miejscu dla zapewnienia łatwego dostępu. Tyl</w:t>
      </w:r>
      <w:r w:rsidRPr="007132D5">
        <w:rPr>
          <w:rFonts w:ascii="Verdana" w:hAnsi="Verdana"/>
          <w:szCs w:val="22"/>
          <w:lang w:val="pl-PL"/>
        </w:rPr>
        <w:t>ny podnośnik posiada teraz udźwig 10,4 tony, a przedni 5 ton.</w:t>
      </w:r>
    </w:p>
    <w:p w:rsidR="00904A97" w:rsidRPr="007132D5" w:rsidRDefault="00904A97">
      <w:pPr>
        <w:spacing w:line="276" w:lineRule="auto"/>
        <w:jc w:val="both"/>
        <w:rPr>
          <w:rFonts w:ascii="Verdana" w:hAnsi="Verdana"/>
          <w:szCs w:val="22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/>
          <w:lang w:val="pl-PL"/>
        </w:rPr>
      </w:pPr>
      <w:r w:rsidRPr="007132D5">
        <w:rPr>
          <w:rFonts w:ascii="Verdana" w:hAnsi="Verdana"/>
          <w:lang w:val="pl-PL"/>
        </w:rPr>
        <w:t xml:space="preserve">Ciągniki 6230R i 6250R oferują również wysoki poziom komfortu pracy dla operatora. Inteligentny układ hydropneumatycznego zawieszenia kabiny (HSC Plus) zapewnia większy komfort jazdy oraz lepszą izolację akustyczną i tłumienie drgań. Lepsza przyczepność i aż o 10 procent wyższe przenoszenie mocy na podłoże to efekt zastosowania nowego samopoziomującego </w:t>
      </w:r>
      <w:r w:rsidRPr="007132D5">
        <w:rPr>
          <w:rFonts w:ascii="Verdana" w:hAnsi="Verdana"/>
          <w:color w:val="000000" w:themeColor="text1"/>
          <w:lang w:val="pl-PL"/>
        </w:rPr>
        <w:t>układu zawieszenia osi przedniej TLS Plus</w:t>
      </w:r>
      <w:r w:rsidRPr="007132D5">
        <w:rPr>
          <w:rFonts w:ascii="Verdana" w:hAnsi="Verdana"/>
          <w:lang w:val="pl-PL"/>
        </w:rPr>
        <w:t xml:space="preserve">. </w:t>
      </w:r>
      <w:r w:rsidRPr="00166D30">
        <w:rPr>
          <w:rFonts w:ascii="Verdana" w:hAnsi="Verdana"/>
          <w:lang w:val="pl-PL"/>
        </w:rPr>
        <w:t>Automatycznie reguluje on czułość i szybkość reakcji, zapewniając synchronizację z układem wykrywania obciążenia podnośnika</w:t>
      </w:r>
      <w:r w:rsidR="00166D30" w:rsidRPr="00166D30">
        <w:rPr>
          <w:rFonts w:ascii="Verdana" w:hAnsi="Verdana"/>
          <w:lang w:val="pl-PL"/>
        </w:rPr>
        <w:t>. Dzięki temu k</w:t>
      </w:r>
      <w:r w:rsidRPr="00166D30">
        <w:rPr>
          <w:rFonts w:ascii="Verdana" w:hAnsi="Verdana"/>
          <w:lang w:val="pl-PL"/>
        </w:rPr>
        <w:t>ompens</w:t>
      </w:r>
      <w:r w:rsidR="00166D30" w:rsidRPr="00166D30">
        <w:rPr>
          <w:rFonts w:ascii="Verdana" w:hAnsi="Verdana"/>
          <w:lang w:val="pl-PL"/>
        </w:rPr>
        <w:t>uje</w:t>
      </w:r>
      <w:r w:rsidRPr="00166D30">
        <w:rPr>
          <w:rFonts w:ascii="Verdana" w:hAnsi="Verdana"/>
          <w:lang w:val="pl-PL"/>
        </w:rPr>
        <w:t xml:space="preserve"> efekt skoku mocy w warunkach wymagających dużego uciągu.</w:t>
      </w:r>
      <w:r w:rsidRPr="007132D5">
        <w:rPr>
          <w:rFonts w:ascii="Verdana" w:hAnsi="Verdana"/>
          <w:lang w:val="pl-PL"/>
        </w:rPr>
        <w:t xml:space="preserve"> Dzięki zmiennemu przełożeniu układu kierowniczego (VRS) kręcenie kierownicą wymaga mniej ruchu ramion i znacznie niższego wysiłku.</w:t>
      </w:r>
    </w:p>
    <w:p w:rsidR="00904A97" w:rsidRPr="007132D5" w:rsidRDefault="00904A97">
      <w:pPr>
        <w:spacing w:line="276" w:lineRule="auto"/>
        <w:jc w:val="both"/>
        <w:rPr>
          <w:rFonts w:ascii="Verdana" w:hAnsi="Verdana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/>
          <w:strike/>
          <w:lang w:val="pl-PL"/>
        </w:rPr>
      </w:pPr>
      <w:r w:rsidRPr="007132D5">
        <w:rPr>
          <w:rFonts w:ascii="Verdana" w:hAnsi="Verdana"/>
          <w:szCs w:val="22"/>
          <w:lang w:val="pl-PL"/>
        </w:rPr>
        <w:t xml:space="preserve">Z pozostałych opcji wymienić można nowy pakiet łączności obejmujący </w:t>
      </w:r>
      <w:r w:rsidRP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 xml:space="preserve">aplikacje </w:t>
      </w:r>
      <w:proofErr w:type="spellStart"/>
      <w:r w:rsidRP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>MyJobsConnect</w:t>
      </w:r>
      <w:proofErr w:type="spellEnd"/>
      <w:r w:rsidRP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 xml:space="preserve"> i </w:t>
      </w:r>
      <w:proofErr w:type="spellStart"/>
      <w:r w:rsidRP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>MyJobsManager</w:t>
      </w:r>
      <w:proofErr w:type="spellEnd"/>
      <w:r w:rsidRP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>, które pozwalają przesyłać zadania w czasie rzeczywistym do urządzeń przenośnych operatorów, którzy wykonują je na bieżąco. John Deere jest też pierwszym producentem maszyn rolniczych oferującym system nawigacji</w:t>
      </w:r>
      <w:r w:rsidR="007132D5">
        <w:rPr>
          <w:rFonts w:ascii="Verdana" w:eastAsiaTheme="minorEastAsia" w:hAnsi="Verdana" w:cstheme="minorBidi"/>
          <w:color w:val="000000" w:themeColor="text1"/>
          <w:szCs w:val="22"/>
          <w:lang w:val="pl-PL"/>
        </w:rPr>
        <w:t>.</w:t>
      </w:r>
    </w:p>
    <w:p w:rsidR="00904A97" w:rsidRPr="007132D5" w:rsidRDefault="00904A97">
      <w:pPr>
        <w:spacing w:line="276" w:lineRule="auto"/>
        <w:rPr>
          <w:rFonts w:ascii="Verdana" w:hAnsi="Verdana"/>
          <w:lang w:val="pl-PL"/>
        </w:rPr>
      </w:pPr>
    </w:p>
    <w:p w:rsidR="00904A97" w:rsidRPr="007132D5" w:rsidRDefault="0096094B">
      <w:pPr>
        <w:spacing w:line="276" w:lineRule="auto"/>
        <w:jc w:val="both"/>
        <w:rPr>
          <w:rFonts w:ascii="Verdana" w:hAnsi="Verdana"/>
          <w:lang w:val="pl-PL"/>
        </w:rPr>
      </w:pPr>
      <w:r w:rsidRPr="007132D5">
        <w:rPr>
          <w:rFonts w:ascii="Verdana" w:hAnsi="Verdana"/>
          <w:szCs w:val="22"/>
          <w:lang w:val="pl-PL"/>
        </w:rPr>
        <w:t xml:space="preserve">Nowe ciągniki serii 6R charakteryzują się również łatwą dostępnością punktów serwisowych w celach konserwacji. </w:t>
      </w:r>
      <w:r w:rsidRPr="007132D5">
        <w:rPr>
          <w:rFonts w:ascii="Verdana" w:hAnsi="Verdana"/>
          <w:lang w:val="pl-PL"/>
        </w:rPr>
        <w:t xml:space="preserve">Okres wymiany filtra oleju silnikowego, filtra paliwa i oleju silnikowego w obu modelach wynosi 750 godzin, co przyczynia się do ograniczenia kosztów części i serwisu. </w:t>
      </w:r>
      <w:r w:rsidRPr="007132D5">
        <w:rPr>
          <w:rFonts w:ascii="Verdana" w:hAnsi="Verdana"/>
          <w:szCs w:val="22"/>
          <w:lang w:val="pl-PL"/>
        </w:rPr>
        <w:t>Bezobsługowy filtr cząstek stałych oraz zużycie płynu DEF na poziomie zaledwie 2-3% to dodatkowe oszczędności.</w:t>
      </w:r>
    </w:p>
    <w:p w:rsidR="00904A97" w:rsidRPr="007132D5" w:rsidRDefault="00904A97">
      <w:pPr>
        <w:spacing w:line="276" w:lineRule="auto"/>
        <w:jc w:val="both"/>
        <w:rPr>
          <w:rFonts w:ascii="Verdana" w:hAnsi="Verdana"/>
          <w:lang w:val="pl-PL"/>
        </w:rPr>
      </w:pPr>
    </w:p>
    <w:p w:rsidR="00904A97" w:rsidRPr="007132D5" w:rsidRDefault="0096094B">
      <w:pPr>
        <w:rPr>
          <w:rFonts w:ascii="Verdana" w:hAnsi="Verdana"/>
          <w:b/>
          <w:color w:val="000000" w:themeColor="text1"/>
          <w:sz w:val="24"/>
          <w:szCs w:val="24"/>
          <w:lang w:val="pl-PL"/>
        </w:rPr>
      </w:pPr>
      <w:r w:rsidRPr="007132D5">
        <w:rPr>
          <w:rFonts w:ascii="Verdana" w:hAnsi="Verdana"/>
          <w:b/>
          <w:color w:val="000000" w:themeColor="text1"/>
          <w:sz w:val="24"/>
          <w:szCs w:val="24"/>
          <w:lang w:val="pl-PL"/>
        </w:rPr>
        <w:br w:type="page"/>
      </w:r>
    </w:p>
    <w:p w:rsidR="00904A97" w:rsidRPr="007132D5" w:rsidRDefault="0096094B">
      <w:pPr>
        <w:rPr>
          <w:rFonts w:ascii="Verdana" w:hAnsi="Verdana"/>
          <w:b/>
          <w:color w:val="000000" w:themeColor="text1"/>
          <w:sz w:val="24"/>
          <w:szCs w:val="24"/>
          <w:lang w:val="pl-PL"/>
        </w:rPr>
      </w:pPr>
      <w:r w:rsidRPr="007132D5">
        <w:rPr>
          <w:rFonts w:ascii="Verdana" w:hAnsi="Verdana"/>
          <w:b/>
          <w:color w:val="000000" w:themeColor="text1"/>
          <w:sz w:val="24"/>
          <w:szCs w:val="24"/>
          <w:lang w:val="pl-PL"/>
        </w:rPr>
        <w:lastRenderedPageBreak/>
        <w:t>Ciągniki serii 6R – najważniejsze dane techniczne:</w:t>
      </w:r>
    </w:p>
    <w:p w:rsidR="00904A97" w:rsidRPr="007132D5" w:rsidRDefault="00904A97">
      <w:pPr>
        <w:rPr>
          <w:rFonts w:ascii="Verdana" w:hAnsi="Verdana"/>
          <w:color w:val="000000" w:themeColor="text1"/>
          <w:sz w:val="24"/>
          <w:szCs w:val="24"/>
          <w:lang w:val="pl-PL"/>
        </w:rPr>
      </w:pPr>
    </w:p>
    <w:p w:rsidR="00904A97" w:rsidRPr="007132D5" w:rsidRDefault="00904A97">
      <w:pPr>
        <w:rPr>
          <w:rFonts w:ascii="Verdana" w:hAnsi="Verdana"/>
          <w:color w:val="000000" w:themeColor="text1"/>
          <w:sz w:val="24"/>
          <w:szCs w:val="24"/>
          <w:lang w:val="pl-PL"/>
        </w:rPr>
      </w:pPr>
    </w:p>
    <w:tbl>
      <w:tblPr>
        <w:tblStyle w:val="Tabela-Siatka"/>
        <w:tblpPr w:leftFromText="141" w:rightFromText="141" w:vertAnchor="text" w:horzAnchor="margin" w:tblpXSpec="center" w:tblpY="-190"/>
        <w:tblW w:w="9645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3266"/>
      </w:tblGrid>
      <w:tr w:rsidR="00904A97">
        <w:tc>
          <w:tcPr>
            <w:tcW w:w="3119" w:type="dxa"/>
          </w:tcPr>
          <w:p w:rsidR="00904A97" w:rsidRDefault="0096094B">
            <w:pPr>
              <w:rPr>
                <w:rFonts w:ascii="Verdana" w:hAnsi="Verdana"/>
                <w:b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b/>
                <w:sz w:val="24"/>
                <w:szCs w:val="24"/>
              </w:rPr>
              <w:t>Specyfikacje</w:t>
            </w:r>
            <w:proofErr w:type="spellEnd"/>
          </w:p>
        </w:tc>
        <w:tc>
          <w:tcPr>
            <w:tcW w:w="3260" w:type="dxa"/>
          </w:tcPr>
          <w:p w:rsidR="00904A97" w:rsidRDefault="0096094B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6230R</w:t>
            </w:r>
          </w:p>
        </w:tc>
        <w:tc>
          <w:tcPr>
            <w:tcW w:w="3266" w:type="dxa"/>
          </w:tcPr>
          <w:p w:rsidR="00904A97" w:rsidRDefault="0096094B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6250R</w:t>
            </w:r>
          </w:p>
        </w:tc>
      </w:tr>
      <w:tr w:rsidR="00904A97" w:rsidRPr="003B321B">
        <w:tc>
          <w:tcPr>
            <w:tcW w:w="3119" w:type="dxa"/>
          </w:tcPr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Typ silnika</w:t>
            </w:r>
          </w:p>
          <w:p w:rsidR="00904A97" w:rsidRPr="007132D5" w:rsidRDefault="00904A97">
            <w:pPr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Układ oczyszczania spalin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Cylindry / pojemność skokowa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Obroty znamionowe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Rezerwa momentu obrotowego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Moc znamionowa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(97/68/WE)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Moc maksymalna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(97/68/WE) z IPM</w:t>
            </w:r>
          </w:p>
        </w:tc>
        <w:tc>
          <w:tcPr>
            <w:tcW w:w="3260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JD 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PowerTech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 PSS,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podwójne turbosprężarki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DPF, DOC, SCR z DEF*</w:t>
            </w:r>
          </w:p>
          <w:p w:rsidR="00426EE1" w:rsidRDefault="00426EE1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6</w:t>
            </w:r>
            <w:r w:rsidR="00E979F4">
              <w:rPr>
                <w:rFonts w:ascii="Verdana" w:hAnsi="Verdana"/>
                <w:sz w:val="24"/>
                <w:szCs w:val="24"/>
                <w:lang w:val="pl-PL"/>
              </w:rPr>
              <w:t xml:space="preserve"> </w:t>
            </w: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/</w:t>
            </w:r>
            <w:r w:rsidR="00E979F4">
              <w:rPr>
                <w:rFonts w:ascii="Verdana" w:hAnsi="Verdana"/>
                <w:sz w:val="24"/>
                <w:szCs w:val="24"/>
                <w:lang w:val="pl-PL"/>
              </w:rPr>
              <w:t xml:space="preserve"> </w:t>
            </w: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6,8 l</w:t>
            </w:r>
          </w:p>
          <w:p w:rsidR="00426EE1" w:rsidRDefault="00426EE1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2100 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40%</w:t>
            </w:r>
          </w:p>
          <w:p w:rsidR="00904A97" w:rsidRPr="007132D5" w:rsidRDefault="00904A97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230 KM</w:t>
            </w:r>
          </w:p>
          <w:p w:rsidR="00904A97" w:rsidRPr="007132D5" w:rsidRDefault="00904A97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280 KM</w:t>
            </w:r>
          </w:p>
        </w:tc>
        <w:tc>
          <w:tcPr>
            <w:tcW w:w="3266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JD 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PowerTech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 PSS,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podwójne turbosprężarki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DPF, DOC, SCR z DEF*</w:t>
            </w:r>
          </w:p>
          <w:p w:rsidR="00426EE1" w:rsidRDefault="00426EE1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6</w:t>
            </w:r>
            <w:r w:rsidR="00E979F4">
              <w:rPr>
                <w:rFonts w:ascii="Verdana" w:hAnsi="Verdana"/>
                <w:sz w:val="24"/>
                <w:szCs w:val="24"/>
                <w:lang w:val="pl-PL"/>
              </w:rPr>
              <w:t xml:space="preserve"> </w:t>
            </w: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/</w:t>
            </w:r>
            <w:r w:rsidR="00E979F4">
              <w:rPr>
                <w:rFonts w:ascii="Verdana" w:hAnsi="Verdana"/>
                <w:sz w:val="24"/>
                <w:szCs w:val="24"/>
                <w:lang w:val="pl-PL"/>
              </w:rPr>
              <w:t xml:space="preserve"> </w:t>
            </w: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6,8 l</w:t>
            </w:r>
          </w:p>
          <w:p w:rsidR="00426EE1" w:rsidRDefault="00426EE1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 xml:space="preserve">2100 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40%</w:t>
            </w:r>
          </w:p>
          <w:p w:rsidR="00904A97" w:rsidRPr="007132D5" w:rsidRDefault="00904A97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250 KM</w:t>
            </w:r>
          </w:p>
          <w:p w:rsidR="00904A97" w:rsidRPr="007132D5" w:rsidRDefault="00904A97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300 KM</w:t>
            </w:r>
          </w:p>
        </w:tc>
      </w:tr>
      <w:tr w:rsidR="00904A97" w:rsidRPr="007132D5">
        <w:tc>
          <w:tcPr>
            <w:tcW w:w="3119" w:type="dxa"/>
          </w:tcPr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Przekładnia</w:t>
            </w:r>
          </w:p>
          <w:p w:rsidR="00904A97" w:rsidRPr="007132D5" w:rsidRDefault="007132D5" w:rsidP="007132D5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>
              <w:rPr>
                <w:rFonts w:ascii="Verdana" w:hAnsi="Verdana"/>
                <w:sz w:val="24"/>
                <w:szCs w:val="24"/>
                <w:lang w:val="pl-PL"/>
              </w:rPr>
              <w:t xml:space="preserve">Prędkość </w:t>
            </w:r>
            <w:r w:rsidR="0096094B" w:rsidRPr="007132D5">
              <w:rPr>
                <w:rFonts w:ascii="Verdana" w:hAnsi="Verdana"/>
                <w:sz w:val="24"/>
                <w:szCs w:val="24"/>
                <w:lang w:val="pl-PL"/>
              </w:rPr>
              <w:t>40 km</w:t>
            </w:r>
            <w:r>
              <w:rPr>
                <w:rFonts w:ascii="Verdana" w:hAnsi="Verdana"/>
                <w:sz w:val="24"/>
                <w:szCs w:val="24"/>
                <w:lang w:val="pl-PL"/>
              </w:rPr>
              <w:t>/h</w:t>
            </w:r>
          </w:p>
        </w:tc>
        <w:tc>
          <w:tcPr>
            <w:tcW w:w="3260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AutoPowr</w:t>
            </w:r>
            <w:proofErr w:type="spellEnd"/>
          </w:p>
          <w:p w:rsidR="00904A97" w:rsidRPr="007132D5" w:rsidRDefault="0096094B" w:rsidP="007132D5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1300 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</w:tc>
        <w:tc>
          <w:tcPr>
            <w:tcW w:w="3266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AutoPowr</w:t>
            </w:r>
            <w:proofErr w:type="spellEnd"/>
          </w:p>
          <w:p w:rsidR="00904A97" w:rsidRPr="007132D5" w:rsidRDefault="0096094B" w:rsidP="007132D5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1300 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</w:tc>
      </w:tr>
      <w:tr w:rsidR="00904A97" w:rsidRPr="007132D5">
        <w:tc>
          <w:tcPr>
            <w:tcW w:w="3119" w:type="dxa"/>
          </w:tcPr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Zawieszenie przedniej osi</w:t>
            </w:r>
          </w:p>
        </w:tc>
        <w:tc>
          <w:tcPr>
            <w:tcW w:w="3260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TLS Plus</w:t>
            </w:r>
          </w:p>
        </w:tc>
        <w:tc>
          <w:tcPr>
            <w:tcW w:w="3266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TLS Plus</w:t>
            </w:r>
          </w:p>
        </w:tc>
      </w:tr>
      <w:tr w:rsidR="00904A97" w:rsidRPr="00166D30">
        <w:tc>
          <w:tcPr>
            <w:tcW w:w="3119" w:type="dxa"/>
          </w:tcPr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Układ hydrauliczny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Pompa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Zawory SCV (maks.)</w:t>
            </w:r>
          </w:p>
        </w:tc>
        <w:tc>
          <w:tcPr>
            <w:tcW w:w="3260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PFC z wykrywaniem obciążenia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160 l/min przy 1500 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  <w:p w:rsidR="00904A97" w:rsidRPr="00166D30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166D30">
              <w:rPr>
                <w:rFonts w:ascii="Verdana" w:hAnsi="Verdana"/>
                <w:sz w:val="24"/>
                <w:szCs w:val="24"/>
                <w:lang w:val="pl-PL"/>
              </w:rPr>
              <w:t>6 (+3 zawory centralne)</w:t>
            </w:r>
          </w:p>
        </w:tc>
        <w:tc>
          <w:tcPr>
            <w:tcW w:w="3266" w:type="dxa"/>
          </w:tcPr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PFC z wykrywaniem obciążenia</w:t>
            </w:r>
          </w:p>
          <w:p w:rsidR="00904A97" w:rsidRPr="007132D5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160 l/min przy 1500 </w:t>
            </w:r>
            <w:proofErr w:type="spellStart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obr</w:t>
            </w:r>
            <w:proofErr w:type="spellEnd"/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./min</w:t>
            </w:r>
          </w:p>
          <w:p w:rsidR="00904A97" w:rsidRPr="00166D30" w:rsidRDefault="0096094B">
            <w:pPr>
              <w:jc w:val="center"/>
              <w:rPr>
                <w:rFonts w:ascii="Verdana" w:hAnsi="Verdana"/>
                <w:sz w:val="24"/>
                <w:szCs w:val="24"/>
                <w:lang w:val="pl-PL"/>
              </w:rPr>
            </w:pPr>
            <w:r w:rsidRPr="00166D30">
              <w:rPr>
                <w:rFonts w:ascii="Verdana" w:hAnsi="Verdana"/>
                <w:sz w:val="24"/>
                <w:szCs w:val="24"/>
                <w:lang w:val="pl-PL"/>
              </w:rPr>
              <w:t>6 (+3 zawory centralne)</w:t>
            </w:r>
          </w:p>
        </w:tc>
      </w:tr>
      <w:tr w:rsidR="00904A97">
        <w:tc>
          <w:tcPr>
            <w:tcW w:w="3119" w:type="dxa"/>
          </w:tcPr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Maksymalny udźwig, tył</w:t>
            </w:r>
          </w:p>
          <w:p w:rsidR="00904A97" w:rsidRPr="007132D5" w:rsidRDefault="0096094B">
            <w:pPr>
              <w:rPr>
                <w:rFonts w:ascii="Verdana" w:hAnsi="Verdana"/>
                <w:sz w:val="24"/>
                <w:szCs w:val="24"/>
                <w:lang w:val="pl-PL"/>
              </w:rPr>
            </w:pPr>
            <w:r w:rsidRPr="007132D5">
              <w:rPr>
                <w:rFonts w:ascii="Verdana" w:hAnsi="Verdana"/>
                <w:sz w:val="24"/>
                <w:szCs w:val="24"/>
                <w:lang w:val="pl-PL"/>
              </w:rPr>
              <w:t>Maksymalny udźwig, przód</w:t>
            </w:r>
          </w:p>
        </w:tc>
        <w:tc>
          <w:tcPr>
            <w:tcW w:w="3260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10400 kg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5000 kg</w:t>
            </w:r>
          </w:p>
        </w:tc>
        <w:tc>
          <w:tcPr>
            <w:tcW w:w="3266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10400 kg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5000 kg</w:t>
            </w:r>
          </w:p>
        </w:tc>
      </w:tr>
      <w:tr w:rsidR="00904A97">
        <w:tc>
          <w:tcPr>
            <w:tcW w:w="3119" w:type="dxa"/>
          </w:tcPr>
          <w:p w:rsidR="00904A97" w:rsidRDefault="0096094B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Tylny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WOM</w:t>
            </w:r>
          </w:p>
          <w:p w:rsidR="00904A97" w:rsidRDefault="00904A97">
            <w:pPr>
              <w:rPr>
                <w:rFonts w:ascii="Verdana" w:hAnsi="Verdana"/>
                <w:sz w:val="24"/>
                <w:szCs w:val="24"/>
              </w:rPr>
            </w:pPr>
          </w:p>
          <w:p w:rsidR="00904A97" w:rsidRDefault="0096094B">
            <w:pPr>
              <w:rPr>
                <w:rFonts w:ascii="Verdana" w:hAnsi="Verdana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sz w:val="24"/>
                <w:szCs w:val="24"/>
              </w:rPr>
              <w:t>Przedni</w:t>
            </w:r>
            <w:proofErr w:type="spellEnd"/>
            <w:r>
              <w:rPr>
                <w:rFonts w:ascii="Verdana" w:hAnsi="Verdana"/>
                <w:sz w:val="24"/>
                <w:szCs w:val="24"/>
              </w:rPr>
              <w:t xml:space="preserve"> WOM</w:t>
            </w:r>
          </w:p>
        </w:tc>
        <w:tc>
          <w:tcPr>
            <w:tcW w:w="3260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540/540E/1000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540E/1000/1000E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1000</w:t>
            </w:r>
          </w:p>
        </w:tc>
        <w:tc>
          <w:tcPr>
            <w:tcW w:w="3266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540/540E/1000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540E/1000/1000E</w:t>
            </w:r>
          </w:p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1000</w:t>
            </w:r>
          </w:p>
        </w:tc>
      </w:tr>
      <w:tr w:rsidR="00904A97">
        <w:tc>
          <w:tcPr>
            <w:tcW w:w="3119" w:type="dxa"/>
          </w:tcPr>
          <w:p w:rsidR="00904A97" w:rsidRDefault="0096094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Masa</w:t>
            </w:r>
          </w:p>
        </w:tc>
        <w:tc>
          <w:tcPr>
            <w:tcW w:w="3260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9300 kg</w:t>
            </w:r>
          </w:p>
        </w:tc>
        <w:tc>
          <w:tcPr>
            <w:tcW w:w="3266" w:type="dxa"/>
          </w:tcPr>
          <w:p w:rsidR="00904A97" w:rsidRDefault="0096094B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9300 kg</w:t>
            </w:r>
          </w:p>
        </w:tc>
      </w:tr>
    </w:tbl>
    <w:p w:rsidR="00904A97" w:rsidRDefault="00904A97">
      <w:pPr>
        <w:rPr>
          <w:rFonts w:ascii="Verdana" w:hAnsi="Verdana"/>
          <w:sz w:val="24"/>
          <w:szCs w:val="24"/>
        </w:rPr>
      </w:pPr>
    </w:p>
    <w:p w:rsidR="00904A97" w:rsidRPr="007132D5" w:rsidRDefault="0096094B">
      <w:pPr>
        <w:rPr>
          <w:rFonts w:ascii="Verdana" w:hAnsi="Verdana"/>
          <w:sz w:val="24"/>
          <w:szCs w:val="24"/>
          <w:lang w:val="pl-PL"/>
        </w:rPr>
      </w:pPr>
      <w:r w:rsidRPr="007132D5">
        <w:rPr>
          <w:rFonts w:ascii="Verdana" w:hAnsi="Verdana"/>
          <w:sz w:val="24"/>
          <w:szCs w:val="24"/>
          <w:lang w:val="pl-PL"/>
        </w:rPr>
        <w:t>*DPF – filtr cząstek stałych / DOC – katalizator utleniający /</w:t>
      </w:r>
    </w:p>
    <w:p w:rsidR="00904A97" w:rsidRPr="007132D5" w:rsidRDefault="0096094B">
      <w:pPr>
        <w:rPr>
          <w:rFonts w:ascii="Verdana" w:hAnsi="Verdana"/>
          <w:sz w:val="24"/>
          <w:szCs w:val="24"/>
          <w:lang w:val="pl-PL"/>
        </w:rPr>
      </w:pPr>
      <w:r w:rsidRPr="007132D5">
        <w:rPr>
          <w:rFonts w:ascii="Verdana" w:hAnsi="Verdana"/>
          <w:sz w:val="24"/>
          <w:szCs w:val="24"/>
          <w:lang w:val="pl-PL"/>
        </w:rPr>
        <w:t xml:space="preserve"> SCR – selektywna redukcja katalityczna / DEF – płyn do filtra cząstek stałych</w:t>
      </w:r>
    </w:p>
    <w:p w:rsidR="00904A97" w:rsidRPr="007132D5" w:rsidRDefault="00904A97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sectPr w:rsidR="00904A97" w:rsidRPr="007132D5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64F" w:rsidRDefault="00B8564F">
      <w:r>
        <w:separator/>
      </w:r>
    </w:p>
  </w:endnote>
  <w:endnote w:type="continuationSeparator" w:id="0">
    <w:p w:rsidR="00B8564F" w:rsidRDefault="00B8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A97" w:rsidRDefault="0096094B">
    <w:pPr>
      <w:ind w:left="-392" w:right="-533" w:firstLine="392"/>
      <w:rPr>
        <w:sz w:val="16"/>
        <w:szCs w:val="16"/>
      </w:rPr>
    </w:pPr>
    <w:r>
      <w:rPr>
        <w:sz w:val="16"/>
      </w:rPr>
      <w:t xml:space="preserve">John Deere GmbH &amp; Co. KG </w:t>
    </w:r>
    <w:r>
      <w:rPr>
        <w:b/>
        <w:sz w:val="16"/>
      </w:rPr>
      <w:t>•</w:t>
    </w:r>
    <w:r>
      <w:rPr>
        <w:sz w:val="16"/>
      </w:rPr>
      <w:t xml:space="preserve"> </w:t>
    </w:r>
    <w:proofErr w:type="spellStart"/>
    <w:r>
      <w:rPr>
        <w:sz w:val="16"/>
      </w:rPr>
      <w:t>Siedziba</w:t>
    </w:r>
    <w:proofErr w:type="spellEnd"/>
    <w:r>
      <w:rPr>
        <w:sz w:val="16"/>
      </w:rPr>
      <w:t xml:space="preserve"> w Mannheim </w:t>
    </w:r>
    <w:r>
      <w:rPr>
        <w:b/>
        <w:sz w:val="16"/>
      </w:rPr>
      <w:t>•</w:t>
    </w:r>
    <w:r>
      <w:rPr>
        <w:sz w:val="16"/>
      </w:rPr>
      <w:t xml:space="preserve"> </w:t>
    </w:r>
    <w:proofErr w:type="spellStart"/>
    <w:r>
      <w:rPr>
        <w:sz w:val="16"/>
      </w:rPr>
      <w:t>Amtsgericht</w:t>
    </w:r>
    <w:proofErr w:type="spellEnd"/>
    <w:r>
      <w:rPr>
        <w:sz w:val="16"/>
      </w:rPr>
      <w:t xml:space="preserve"> Mannheim HRA 704371 • http://www.johndeere.de</w:t>
    </w:r>
  </w:p>
  <w:p w:rsidR="00904A97" w:rsidRPr="007132D5" w:rsidRDefault="0096094B">
    <w:pPr>
      <w:pStyle w:val="Stopka"/>
      <w:jc w:val="center"/>
      <w:rPr>
        <w:sz w:val="16"/>
        <w:szCs w:val="16"/>
        <w:lang w:val="pl-PL"/>
      </w:rPr>
    </w:pPr>
    <w:r w:rsidRPr="007132D5">
      <w:rPr>
        <w:sz w:val="16"/>
        <w:lang w:val="pl-PL"/>
      </w:rPr>
      <w:t xml:space="preserve">Wspólnik odpowiedzialny osobiście: John </w:t>
    </w:r>
    <w:proofErr w:type="spellStart"/>
    <w:r w:rsidRPr="007132D5">
      <w:rPr>
        <w:sz w:val="16"/>
        <w:lang w:val="pl-PL"/>
      </w:rPr>
      <w:t>Deere</w:t>
    </w:r>
    <w:proofErr w:type="spellEnd"/>
    <w:r w:rsidRPr="007132D5">
      <w:rPr>
        <w:sz w:val="16"/>
        <w:lang w:val="pl-PL"/>
      </w:rPr>
      <w:t xml:space="preserve"> GmbH, </w:t>
    </w:r>
    <w:proofErr w:type="spellStart"/>
    <w:r w:rsidRPr="007132D5">
      <w:rPr>
        <w:sz w:val="16"/>
        <w:lang w:val="pl-PL"/>
      </w:rPr>
      <w:t>Gesellschaft</w:t>
    </w:r>
    <w:proofErr w:type="spellEnd"/>
    <w:r w:rsidRPr="007132D5">
      <w:rPr>
        <w:sz w:val="16"/>
        <w:lang w:val="pl-PL"/>
      </w:rPr>
      <w:t xml:space="preserve"> mit </w:t>
    </w:r>
    <w:proofErr w:type="spellStart"/>
    <w:r w:rsidRPr="007132D5">
      <w:rPr>
        <w:sz w:val="16"/>
        <w:lang w:val="pl-PL"/>
      </w:rPr>
      <w:t>beschränkter</w:t>
    </w:r>
    <w:proofErr w:type="spellEnd"/>
    <w:r w:rsidRPr="007132D5">
      <w:rPr>
        <w:sz w:val="16"/>
        <w:lang w:val="pl-PL"/>
      </w:rPr>
      <w:t xml:space="preserve"> </w:t>
    </w:r>
    <w:proofErr w:type="spellStart"/>
    <w:r w:rsidRPr="007132D5">
      <w:rPr>
        <w:sz w:val="16"/>
        <w:lang w:val="pl-PL"/>
      </w:rPr>
      <w:t>Haftung</w:t>
    </w:r>
    <w:proofErr w:type="spellEnd"/>
  </w:p>
  <w:p w:rsidR="00904A97" w:rsidRPr="007132D5" w:rsidRDefault="0096094B">
    <w:pPr>
      <w:pStyle w:val="Stopka"/>
      <w:jc w:val="center"/>
      <w:rPr>
        <w:sz w:val="16"/>
        <w:szCs w:val="16"/>
        <w:lang w:val="pl-PL"/>
      </w:rPr>
    </w:pPr>
    <w:r w:rsidRPr="007132D5">
      <w:rPr>
        <w:sz w:val="16"/>
        <w:lang w:val="pl-PL"/>
      </w:rPr>
      <w:t>Siedziba: Luksemburg, nr rejestru handlowego: R.C.S. Luxemburg B 161281,</w:t>
    </w:r>
  </w:p>
  <w:p w:rsidR="00904A97" w:rsidRDefault="0096094B">
    <w:pPr>
      <w:pStyle w:val="Stopka"/>
      <w:jc w:val="center"/>
      <w:rPr>
        <w:sz w:val="16"/>
        <w:szCs w:val="16"/>
      </w:rPr>
    </w:pPr>
    <w:proofErr w:type="spellStart"/>
    <w:r>
      <w:rPr>
        <w:sz w:val="16"/>
      </w:rPr>
      <w:t>Zarząd</w:t>
    </w:r>
    <w:proofErr w:type="spellEnd"/>
    <w:r>
      <w:rPr>
        <w:sz w:val="16"/>
      </w:rPr>
      <w:t xml:space="preserve">: </w:t>
    </w:r>
    <w:proofErr w:type="spellStart"/>
    <w:r>
      <w:rPr>
        <w:sz w:val="16"/>
      </w:rPr>
      <w:t>Markwart</w:t>
    </w:r>
    <w:proofErr w:type="spellEnd"/>
    <w:r>
      <w:rPr>
        <w:sz w:val="16"/>
      </w:rPr>
      <w:t xml:space="preserve"> von </w:t>
    </w:r>
    <w:proofErr w:type="spellStart"/>
    <w:r>
      <w:rPr>
        <w:sz w:val="16"/>
      </w:rPr>
      <w:t>Pentz</w:t>
    </w:r>
    <w:proofErr w:type="spellEnd"/>
    <w:r>
      <w:rPr>
        <w:sz w:val="16"/>
      </w:rPr>
      <w:t>, Christoph Wigger, Horst Graf</w:t>
    </w:r>
  </w:p>
  <w:p w:rsidR="00904A97" w:rsidRDefault="00904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64F" w:rsidRDefault="00B8564F">
      <w:r>
        <w:separator/>
      </w:r>
    </w:p>
  </w:footnote>
  <w:footnote w:type="continuationSeparator" w:id="0">
    <w:p w:rsidR="00B8564F" w:rsidRDefault="00B85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904A97">
      <w:tc>
        <w:tcPr>
          <w:tcW w:w="6039" w:type="dxa"/>
        </w:tcPr>
        <w:p w:rsidR="00904A97" w:rsidRDefault="00904A97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:rsidR="00904A97" w:rsidRDefault="0096094B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3B321B">
            <w:rPr>
              <w:rStyle w:val="Numerstrony"/>
              <w:b w:val="0"/>
              <w:noProof/>
              <w:sz w:val="18"/>
            </w:rPr>
            <w:t>3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:rsidR="00904A97" w:rsidRDefault="00904A97">
          <w:pPr>
            <w:pStyle w:val="Nagwek2"/>
            <w:ind w:hanging="142"/>
          </w:pPr>
        </w:p>
      </w:tc>
    </w:tr>
  </w:tbl>
  <w:p w:rsidR="00904A97" w:rsidRDefault="00904A9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904A97">
      <w:tc>
        <w:tcPr>
          <w:tcW w:w="6039" w:type="dxa"/>
        </w:tcPr>
        <w:p w:rsidR="00904A97" w:rsidRDefault="0096094B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 w:bidi="ar-SA"/>
            </w:rPr>
            <w:drawing>
              <wp:inline distT="0" distB="0" distL="0" distR="0" wp14:anchorId="4CFC1F09" wp14:editId="7F3F7941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:rsidR="00904A97" w:rsidRPr="007132D5" w:rsidRDefault="0096094B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pl-PL"/>
            </w:rPr>
          </w:pPr>
          <w:r w:rsidRPr="007132D5">
            <w:rPr>
              <w:sz w:val="18"/>
              <w:lang w:val="pl-PL"/>
            </w:rPr>
            <w:t>John Deere GmbH &amp; Co. KG</w:t>
          </w:r>
        </w:p>
        <w:p w:rsidR="00904A97" w:rsidRPr="007132D5" w:rsidRDefault="0096094B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pl-PL"/>
            </w:rPr>
          </w:pPr>
          <w:r w:rsidRPr="007132D5">
            <w:rPr>
              <w:sz w:val="18"/>
              <w:lang w:val="pl-PL"/>
            </w:rPr>
            <w:t>Centrum sprzedaży i marketingu regionu 2</w:t>
          </w:r>
        </w:p>
        <w:p w:rsidR="00904A97" w:rsidRDefault="0096094B">
          <w:pPr>
            <w:pStyle w:val="Nagwek"/>
            <w:spacing w:after="200"/>
            <w:ind w:left="-142" w:right="-533"/>
            <w:rPr>
              <w:szCs w:val="18"/>
            </w:rPr>
          </w:pPr>
          <w:r>
            <w:t xml:space="preserve">John-Deere-Str. 70 • 68163 Mannheim • </w:t>
          </w:r>
          <w:proofErr w:type="spellStart"/>
          <w:r>
            <w:t>Niemcy</w:t>
          </w:r>
          <w:proofErr w:type="spellEnd"/>
        </w:p>
      </w:tc>
    </w:tr>
    <w:tr w:rsidR="00904A97">
      <w:tc>
        <w:tcPr>
          <w:tcW w:w="6039" w:type="dxa"/>
        </w:tcPr>
        <w:p w:rsidR="00904A97" w:rsidRDefault="00904A97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4819" w:type="dxa"/>
        </w:tcPr>
        <w:p w:rsidR="00904A97" w:rsidRDefault="0096094B">
          <w:pPr>
            <w:pStyle w:val="Nagwek"/>
            <w:ind w:right="-533" w:hanging="142"/>
            <w:rPr>
              <w:b/>
            </w:rPr>
          </w:pPr>
          <w:r>
            <w:rPr>
              <w:b/>
            </w:rPr>
            <w:t>Public Relations</w:t>
          </w:r>
        </w:p>
        <w:p w:rsidR="00904A97" w:rsidRDefault="0096094B">
          <w:pPr>
            <w:pStyle w:val="Nagwek"/>
            <w:ind w:right="-533" w:hanging="142"/>
          </w:pPr>
          <w:r>
            <w:t>Ralf Lenge</w:t>
          </w:r>
        </w:p>
        <w:p w:rsidR="00904A97" w:rsidRDefault="0096094B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 xml:space="preserve">Tel.:+49 (0) 621 829-8161 • </w:t>
          </w:r>
          <w:proofErr w:type="spellStart"/>
          <w:r>
            <w:rPr>
              <w:sz w:val="16"/>
            </w:rPr>
            <w:t>Faks</w:t>
          </w:r>
          <w:proofErr w:type="spellEnd"/>
          <w:r>
            <w:rPr>
              <w:sz w:val="16"/>
            </w:rPr>
            <w:t>: 829-8300</w:t>
          </w:r>
        </w:p>
        <w:p w:rsidR="00904A97" w:rsidRDefault="0096094B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e-mail: LengeRalf@JohnDeere.com</w:t>
          </w:r>
        </w:p>
        <w:p w:rsidR="00904A97" w:rsidRDefault="00904A97">
          <w:pPr>
            <w:pStyle w:val="Nagwek"/>
            <w:spacing w:after="120"/>
            <w:ind w:right="-533" w:hanging="142"/>
          </w:pPr>
        </w:p>
      </w:tc>
    </w:tr>
  </w:tbl>
  <w:p w:rsidR="00904A97" w:rsidRDefault="00904A9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FD"/>
    <w:multiLevelType w:val="hybridMultilevel"/>
    <w:tmpl w:val="98B4D0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C200F"/>
    <w:multiLevelType w:val="hybridMultilevel"/>
    <w:tmpl w:val="3DBE064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3D5416"/>
    <w:multiLevelType w:val="hybridMultilevel"/>
    <w:tmpl w:val="30A48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770A36"/>
    <w:multiLevelType w:val="hybridMultilevel"/>
    <w:tmpl w:val="BB60C16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9C1A16"/>
    <w:multiLevelType w:val="hybridMultilevel"/>
    <w:tmpl w:val="F07A1D5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729C4"/>
    <w:multiLevelType w:val="hybridMultilevel"/>
    <w:tmpl w:val="119CE1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E43D8"/>
    <w:multiLevelType w:val="hybridMultilevel"/>
    <w:tmpl w:val="031A7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B0DEF"/>
    <w:multiLevelType w:val="hybridMultilevel"/>
    <w:tmpl w:val="5B46E4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BF701F"/>
    <w:multiLevelType w:val="hybridMultilevel"/>
    <w:tmpl w:val="43AA5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397523"/>
    <w:multiLevelType w:val="hybridMultilevel"/>
    <w:tmpl w:val="19E4BFD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2034C6"/>
    <w:multiLevelType w:val="hybridMultilevel"/>
    <w:tmpl w:val="673CC84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DA75ED"/>
    <w:multiLevelType w:val="hybridMultilevel"/>
    <w:tmpl w:val="5A66872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DA04E3"/>
    <w:multiLevelType w:val="hybridMultilevel"/>
    <w:tmpl w:val="712AC67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35454B"/>
    <w:multiLevelType w:val="hybridMultilevel"/>
    <w:tmpl w:val="09D6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323250"/>
    <w:multiLevelType w:val="hybridMultilevel"/>
    <w:tmpl w:val="EAB23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680B1D"/>
    <w:multiLevelType w:val="hybridMultilevel"/>
    <w:tmpl w:val="027ED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1"/>
  </w:num>
  <w:num w:numId="5">
    <w:abstractNumId w:val="9"/>
  </w:num>
  <w:num w:numId="6">
    <w:abstractNumId w:val="2"/>
  </w:num>
  <w:num w:numId="7">
    <w:abstractNumId w:val="15"/>
  </w:num>
  <w:num w:numId="8">
    <w:abstractNumId w:val="1"/>
  </w:num>
  <w:num w:numId="9">
    <w:abstractNumId w:val="14"/>
  </w:num>
  <w:num w:numId="10">
    <w:abstractNumId w:val="5"/>
  </w:num>
  <w:num w:numId="11">
    <w:abstractNumId w:val="13"/>
  </w:num>
  <w:num w:numId="12">
    <w:abstractNumId w:val="10"/>
  </w:num>
  <w:num w:numId="13">
    <w:abstractNumId w:val="4"/>
  </w:num>
  <w:num w:numId="14">
    <w:abstractNumId w:val="12"/>
  </w:num>
  <w:num w:numId="15">
    <w:abstractNumId w:val="16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7E"/>
    <w:rsid w:val="00012596"/>
    <w:rsid w:val="000125F7"/>
    <w:rsid w:val="00040CD6"/>
    <w:rsid w:val="00050C17"/>
    <w:rsid w:val="00067481"/>
    <w:rsid w:val="0007449B"/>
    <w:rsid w:val="00082567"/>
    <w:rsid w:val="000A48E8"/>
    <w:rsid w:val="000A72B5"/>
    <w:rsid w:val="000A7B70"/>
    <w:rsid w:val="000B572C"/>
    <w:rsid w:val="000C2E64"/>
    <w:rsid w:val="000D6A73"/>
    <w:rsid w:val="000F12E2"/>
    <w:rsid w:val="000F3330"/>
    <w:rsid w:val="000F688E"/>
    <w:rsid w:val="00110D34"/>
    <w:rsid w:val="0012083F"/>
    <w:rsid w:val="001310A9"/>
    <w:rsid w:val="0014300F"/>
    <w:rsid w:val="0014320D"/>
    <w:rsid w:val="001509F7"/>
    <w:rsid w:val="001554DC"/>
    <w:rsid w:val="00156FE5"/>
    <w:rsid w:val="001609CA"/>
    <w:rsid w:val="00166D30"/>
    <w:rsid w:val="00182D94"/>
    <w:rsid w:val="001842E8"/>
    <w:rsid w:val="001963A1"/>
    <w:rsid w:val="001D4FE9"/>
    <w:rsid w:val="001E42D9"/>
    <w:rsid w:val="0020008B"/>
    <w:rsid w:val="00200380"/>
    <w:rsid w:val="002039BE"/>
    <w:rsid w:val="00204AF0"/>
    <w:rsid w:val="00215FEE"/>
    <w:rsid w:val="00220986"/>
    <w:rsid w:val="002276CF"/>
    <w:rsid w:val="0023613C"/>
    <w:rsid w:val="00274064"/>
    <w:rsid w:val="00276041"/>
    <w:rsid w:val="00283DAB"/>
    <w:rsid w:val="00287A8A"/>
    <w:rsid w:val="00296528"/>
    <w:rsid w:val="002E1546"/>
    <w:rsid w:val="002E322A"/>
    <w:rsid w:val="0030048C"/>
    <w:rsid w:val="00300683"/>
    <w:rsid w:val="00304B27"/>
    <w:rsid w:val="00323C8E"/>
    <w:rsid w:val="00331825"/>
    <w:rsid w:val="003366A8"/>
    <w:rsid w:val="003522DA"/>
    <w:rsid w:val="00377A80"/>
    <w:rsid w:val="003A4E47"/>
    <w:rsid w:val="003B321B"/>
    <w:rsid w:val="003D7E1A"/>
    <w:rsid w:val="003E36FE"/>
    <w:rsid w:val="003F7DB1"/>
    <w:rsid w:val="00412A9A"/>
    <w:rsid w:val="00416AAB"/>
    <w:rsid w:val="004257ED"/>
    <w:rsid w:val="00426EE1"/>
    <w:rsid w:val="0044228C"/>
    <w:rsid w:val="0045610F"/>
    <w:rsid w:val="00472C8B"/>
    <w:rsid w:val="00487740"/>
    <w:rsid w:val="004A187B"/>
    <w:rsid w:val="004A60C5"/>
    <w:rsid w:val="004A6217"/>
    <w:rsid w:val="004B1263"/>
    <w:rsid w:val="004D4F33"/>
    <w:rsid w:val="004F237D"/>
    <w:rsid w:val="00500B06"/>
    <w:rsid w:val="00502C98"/>
    <w:rsid w:val="00505BCF"/>
    <w:rsid w:val="00511C4C"/>
    <w:rsid w:val="005445BB"/>
    <w:rsid w:val="005802D0"/>
    <w:rsid w:val="005818C7"/>
    <w:rsid w:val="00587AFF"/>
    <w:rsid w:val="005A0DE9"/>
    <w:rsid w:val="005B57A0"/>
    <w:rsid w:val="005E4574"/>
    <w:rsid w:val="005E4C38"/>
    <w:rsid w:val="005F0620"/>
    <w:rsid w:val="005F57D8"/>
    <w:rsid w:val="00604E53"/>
    <w:rsid w:val="006164B5"/>
    <w:rsid w:val="00624C2C"/>
    <w:rsid w:val="006333F7"/>
    <w:rsid w:val="00634E79"/>
    <w:rsid w:val="006401BF"/>
    <w:rsid w:val="00641CF8"/>
    <w:rsid w:val="00662928"/>
    <w:rsid w:val="00674DAB"/>
    <w:rsid w:val="00687B77"/>
    <w:rsid w:val="00693443"/>
    <w:rsid w:val="006A4DC5"/>
    <w:rsid w:val="006B3D79"/>
    <w:rsid w:val="006C0A8F"/>
    <w:rsid w:val="006C70A9"/>
    <w:rsid w:val="006E0919"/>
    <w:rsid w:val="006F2639"/>
    <w:rsid w:val="006F6E12"/>
    <w:rsid w:val="00706149"/>
    <w:rsid w:val="007132D5"/>
    <w:rsid w:val="0073389E"/>
    <w:rsid w:val="00760609"/>
    <w:rsid w:val="00767B80"/>
    <w:rsid w:val="00770C1F"/>
    <w:rsid w:val="00784555"/>
    <w:rsid w:val="007C32D9"/>
    <w:rsid w:val="00804B06"/>
    <w:rsid w:val="00811CDA"/>
    <w:rsid w:val="00817A9E"/>
    <w:rsid w:val="00822B6A"/>
    <w:rsid w:val="008260F5"/>
    <w:rsid w:val="00840C07"/>
    <w:rsid w:val="00842FE0"/>
    <w:rsid w:val="00846331"/>
    <w:rsid w:val="00847034"/>
    <w:rsid w:val="008471C2"/>
    <w:rsid w:val="008577C2"/>
    <w:rsid w:val="008714EC"/>
    <w:rsid w:val="00873C12"/>
    <w:rsid w:val="00881F45"/>
    <w:rsid w:val="00883C60"/>
    <w:rsid w:val="008958A9"/>
    <w:rsid w:val="008A5370"/>
    <w:rsid w:val="008A5893"/>
    <w:rsid w:val="008B6376"/>
    <w:rsid w:val="008E6FFB"/>
    <w:rsid w:val="00904A97"/>
    <w:rsid w:val="009078F4"/>
    <w:rsid w:val="00920384"/>
    <w:rsid w:val="00924045"/>
    <w:rsid w:val="009514E2"/>
    <w:rsid w:val="00951A92"/>
    <w:rsid w:val="00951B6D"/>
    <w:rsid w:val="0096094B"/>
    <w:rsid w:val="0097038C"/>
    <w:rsid w:val="00971680"/>
    <w:rsid w:val="009A0CF7"/>
    <w:rsid w:val="009A1B71"/>
    <w:rsid w:val="009C7654"/>
    <w:rsid w:val="009E27A2"/>
    <w:rsid w:val="009F6BFE"/>
    <w:rsid w:val="00A07EBE"/>
    <w:rsid w:val="00A224ED"/>
    <w:rsid w:val="00A4540B"/>
    <w:rsid w:val="00A51EFF"/>
    <w:rsid w:val="00A54385"/>
    <w:rsid w:val="00A8041C"/>
    <w:rsid w:val="00AC4AE0"/>
    <w:rsid w:val="00AD4469"/>
    <w:rsid w:val="00AE09DB"/>
    <w:rsid w:val="00B10AF2"/>
    <w:rsid w:val="00B47177"/>
    <w:rsid w:val="00B5221D"/>
    <w:rsid w:val="00B54640"/>
    <w:rsid w:val="00B66DE1"/>
    <w:rsid w:val="00B8564F"/>
    <w:rsid w:val="00B87DF8"/>
    <w:rsid w:val="00BE2C7A"/>
    <w:rsid w:val="00BF22F7"/>
    <w:rsid w:val="00C0259F"/>
    <w:rsid w:val="00C05B5C"/>
    <w:rsid w:val="00C269E3"/>
    <w:rsid w:val="00C34095"/>
    <w:rsid w:val="00C40455"/>
    <w:rsid w:val="00C47059"/>
    <w:rsid w:val="00C53669"/>
    <w:rsid w:val="00C93453"/>
    <w:rsid w:val="00C97477"/>
    <w:rsid w:val="00CB1024"/>
    <w:rsid w:val="00CB361D"/>
    <w:rsid w:val="00CB5467"/>
    <w:rsid w:val="00CC5673"/>
    <w:rsid w:val="00CD397B"/>
    <w:rsid w:val="00CD5985"/>
    <w:rsid w:val="00CE246B"/>
    <w:rsid w:val="00CF65D6"/>
    <w:rsid w:val="00D07E80"/>
    <w:rsid w:val="00D24F7E"/>
    <w:rsid w:val="00D37DEC"/>
    <w:rsid w:val="00D53676"/>
    <w:rsid w:val="00D64FA4"/>
    <w:rsid w:val="00D86FAC"/>
    <w:rsid w:val="00D9328D"/>
    <w:rsid w:val="00DA07A3"/>
    <w:rsid w:val="00DA3DA2"/>
    <w:rsid w:val="00DA5A41"/>
    <w:rsid w:val="00DA601C"/>
    <w:rsid w:val="00DC1148"/>
    <w:rsid w:val="00DC47B8"/>
    <w:rsid w:val="00DF1675"/>
    <w:rsid w:val="00E25FE9"/>
    <w:rsid w:val="00E27AAA"/>
    <w:rsid w:val="00E30CC5"/>
    <w:rsid w:val="00E34B4F"/>
    <w:rsid w:val="00E64D76"/>
    <w:rsid w:val="00E72046"/>
    <w:rsid w:val="00E833D0"/>
    <w:rsid w:val="00E979F4"/>
    <w:rsid w:val="00EA5FBB"/>
    <w:rsid w:val="00EB4167"/>
    <w:rsid w:val="00ED3C8B"/>
    <w:rsid w:val="00ED7B1E"/>
    <w:rsid w:val="00EE788B"/>
    <w:rsid w:val="00EF19DB"/>
    <w:rsid w:val="00F12095"/>
    <w:rsid w:val="00F15BDD"/>
    <w:rsid w:val="00F24452"/>
    <w:rsid w:val="00F31730"/>
    <w:rsid w:val="00F43DFF"/>
    <w:rsid w:val="00F6547F"/>
    <w:rsid w:val="00F65A2D"/>
    <w:rsid w:val="00F764CE"/>
    <w:rsid w:val="00F857C5"/>
    <w:rsid w:val="00FC3ABC"/>
    <w:rsid w:val="00FD64EA"/>
    <w:rsid w:val="00FD68B9"/>
    <w:rsid w:val="00FE74E2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CF9CA4"/>
  <w15:docId w15:val="{C0591ADD-8D2E-45F9-815B-AFFE9950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de-DE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C0259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qFormat/>
    <w:rsid w:val="008714EC"/>
    <w:rPr>
      <w:i/>
      <w:iCs/>
    </w:rPr>
  </w:style>
  <w:style w:type="paragraph" w:styleId="NormalnyWeb">
    <w:name w:val="Normal (Web)"/>
    <w:basedOn w:val="Normalny"/>
    <w:uiPriority w:val="99"/>
    <w:unhideWhenUsed/>
    <w:rsid w:val="006401BF"/>
    <w:pPr>
      <w:spacing w:before="100" w:beforeAutospacing="1" w:after="100" w:afterAutospacing="1"/>
    </w:pPr>
    <w:rPr>
      <w:rFonts w:ascii="Times New Roman" w:hAnsi="Times New Roman"/>
      <w:sz w:val="24"/>
      <w:szCs w:val="24"/>
      <w:lang w:bidi="ar-SA"/>
    </w:rPr>
  </w:style>
  <w:style w:type="table" w:customStyle="1" w:styleId="PlainTable21">
    <w:name w:val="Plain Table 21"/>
    <w:basedOn w:val="Standardowy"/>
    <w:uiPriority w:val="42"/>
    <w:rsid w:val="006401BF"/>
    <w:rPr>
      <w:rFonts w:asciiTheme="minorHAnsi" w:eastAsiaTheme="minorHAnsi" w:hAnsiTheme="minorHAnsi" w:cstheme="minorBid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1150B-E1D8-4727-B8B1-18F2EFE66A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3A19EF-EFF7-434C-A6C5-BFF5B9C62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B8B9CD-0D52-4E7E-9DF2-DEC96D50ED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D83EC3-FFFD-4B83-9436-866703EA3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int.dot</Template>
  <TotalTime>45</TotalTime>
  <Pages>3</Pages>
  <Words>773</Words>
  <Characters>4644</Characters>
  <Application>Microsoft Office Word</Application>
  <DocSecurity>0</DocSecurity>
  <Lines>38</Lines>
  <Paragraphs>10</Paragraphs>
  <ScaleCrop>false</ScaleCrop>
  <HeadingPairs>
    <vt:vector size="8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Deere &amp; Company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Piesker</dc:creator>
  <cp:lastModifiedBy>Przemek</cp:lastModifiedBy>
  <cp:revision>4</cp:revision>
  <cp:lastPrinted>2016-10-26T12:46:00Z</cp:lastPrinted>
  <dcterms:created xsi:type="dcterms:W3CDTF">2016-11-29T12:25:00Z</dcterms:created>
  <dcterms:modified xsi:type="dcterms:W3CDTF">2016-12-01T09:29:00Z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