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Verdana" w:cs="Verdana" w:eastAsia="Verdana" w:hAnsi="Verdana"/>
          <w:b w:val="1"/>
          <w:bCs w:val="1"/>
          <w:color w:val="008000"/>
          <w:sz w:val="24"/>
          <w:szCs w:val="24"/>
        </w:rPr>
      </w:pPr>
      <w:r w:rsidDel="00000000" w:rsidR="00000000" w:rsidRPr="00000000">
        <w:rPr>
          <w:rtl w:val="0"/>
        </w:rPr>
      </w:r>
    </w:p>
    <w:p w:rsidR="00000000" w:rsidDel="00000000" w:rsidP="00000000" w:rsidRDefault="00000000" w:rsidRPr="00000000" w14:paraId="00000002">
      <w:pPr>
        <w:spacing w:line="276" w:lineRule="auto"/>
        <w:jc w:val="both"/>
        <w:rPr>
          <w:rFonts w:ascii="Verdana" w:cs="Verdana" w:eastAsia="Verdana" w:hAnsi="Verdana"/>
          <w:b w:val="1"/>
          <w:bCs w:val="1"/>
          <w:color w:val="008000"/>
          <w:sz w:val="24"/>
          <w:szCs w:val="24"/>
        </w:rPr>
      </w:pPr>
      <w:r w:rsidDel="00000000" w:rsidR="00000000" w:rsidRPr="00000000">
        <w:rPr>
          <w:rFonts w:ascii="Verdana" w:cs="Verdana" w:eastAsia="Verdana" w:hAnsi="Verdana"/>
          <w:b w:val="1"/>
          <w:bCs w:val="1"/>
          <w:color w:val="008000"/>
          <w:sz w:val="24"/>
          <w:szCs w:val="24"/>
          <w:rtl w:val="0"/>
        </w:rPr>
        <w:t xml:space="preserve">John Deere aktualizuje ciągniki 6R o dużej i bardzo dużej ramie</w:t>
      </w:r>
    </w:p>
    <w:p w:rsidR="00000000" w:rsidDel="00000000" w:rsidP="00000000" w:rsidRDefault="00000000" w:rsidRPr="00000000" w14:paraId="00000003">
      <w:pPr>
        <w:spacing w:line="276" w:lineRule="auto"/>
        <w:jc w:val="both"/>
        <w:rPr>
          <w:rFonts w:ascii="Verdana" w:cs="Verdana" w:eastAsia="Verdana" w:hAnsi="Verdana"/>
          <w:b w:val="1"/>
          <w:bCs w:val="1"/>
          <w:color w:val="008000"/>
          <w:sz w:val="24"/>
          <w:szCs w:val="24"/>
        </w:rPr>
      </w:pPr>
      <w:r w:rsidDel="00000000" w:rsidR="00000000" w:rsidRPr="00000000">
        <w:rPr>
          <w:rtl w:val="0"/>
        </w:rPr>
      </w:r>
    </w:p>
    <w:p w:rsidR="00000000" w:rsidDel="00000000" w:rsidP="00000000" w:rsidRDefault="00000000" w:rsidRPr="00000000" w14:paraId="00000004">
      <w:pPr>
        <w:spacing w:line="276" w:lineRule="auto"/>
        <w:ind w:left="0" w:firstLine="0"/>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Ulepszone właściwości transportowe na drodze, środowisko kabiny, funkcje rolnictwa precyzyjnego oraz łatwość serwisowania w całej gamie modeli</w:t>
      </w:r>
    </w:p>
    <w:p w:rsidR="00000000" w:rsidDel="00000000" w:rsidP="00000000" w:rsidRDefault="00000000" w:rsidRPr="00000000" w14:paraId="0000000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6">
      <w:pPr>
        <w:spacing w:line="276" w:lineRule="auto"/>
        <w:jc w:val="both"/>
        <w:rPr>
          <w:rFonts w:ascii="Verdana" w:cs="Verdana" w:eastAsia="Verdana" w:hAnsi="Verdana"/>
        </w:rPr>
      </w:pPr>
      <w:r w:rsidDel="00000000" w:rsidR="00000000" w:rsidRPr="00000000">
        <w:rPr>
          <w:rFonts w:ascii="Verdana" w:cs="Verdana" w:eastAsia="Verdana" w:hAnsi="Verdana"/>
          <w:i w:val="1"/>
          <w:iCs w:val="1"/>
          <w:rtl w:val="0"/>
        </w:rPr>
        <w:t xml:space="preserve">Walldorf, Niemcy, 8 czerwca 2026 r.</w:t>
      </w:r>
      <w:r w:rsidDel="00000000" w:rsidR="00000000" w:rsidRPr="00000000">
        <w:rPr>
          <w:rFonts w:ascii="Verdana" w:cs="Verdana" w:eastAsia="Verdana" w:hAnsi="Verdana"/>
          <w:rtl w:val="0"/>
        </w:rPr>
        <w:t xml:space="preserve"> – Firma John Deere ogłosiła dziś aktualizację modelu rocznikowego 2027 (MY27) swojej gamy ciągników 6R o dużej i bardzo dużej ramie, wprowadzając udoskonalenia techniczne ukierunkowane na osiągi w transporcie drogowym, środowisko operatora, możliwości rolnictwa precyzyjnego oraz długoterminową efektywność eksploatacji. Zaktualizowana gama obejmuje cztery modele o dużej ramie (6R 180, 6R 200, 6R 220, 6R 240) oraz dwa modele o bardzo dużej ramie (6R 230 &amp; 6R 260), oferujące moc do 305 KM z IPM.</w:t>
      </w:r>
    </w:p>
    <w:p w:rsidR="00000000" w:rsidDel="00000000" w:rsidP="00000000" w:rsidRDefault="00000000" w:rsidRPr="00000000" w14:paraId="0000000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9">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Komfort jazdy: ergonomia samochodowa, adaptacyjne tłumienie oraz ulepszenia układu kierowniczego i hamulcowego</w:t>
      </w:r>
    </w:p>
    <w:p w:rsidR="00000000" w:rsidDel="00000000" w:rsidP="00000000" w:rsidRDefault="00000000" w:rsidRPr="00000000" w14:paraId="0000000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Osiągi transportowe nowych ciągników 6R zostały dodatkowo poprawione dzięki pakietowi Sport Package Pro, który łączy ulepszenia podwozia, układu kierowniczego i hamulcowego w celu zwiększenia stabilności, komfortu jazdy i precyzji kierowania zarówno na drodze, jak i w terenie.</w:t>
      </w:r>
    </w:p>
    <w:p w:rsidR="00000000" w:rsidDel="00000000" w:rsidP="00000000" w:rsidRDefault="00000000" w:rsidRPr="00000000" w14:paraId="0000000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D">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Kluczowym elementem tego pakietu jest zaktualizowane zawieszenie przedniej osi TLS™ Pro, które łączy adaptacyjne, regulowane tłumienie i zawieszenie z komponentami klasy motoryzacyjnej oraz wzmocnionymi cylindrami zawieszenia. System stale dostosowuje się do prędkości, obciążenia i warunków nawierzchni oraz jest skalibrowany dla każdego rozmiaru ramy. Działa w pełni automatycznie lub może być regulowany w trybie indywidualnym zgodnie z preferencjami operatora i konfiguracją obciążników.</w:t>
      </w:r>
    </w:p>
    <w:p w:rsidR="00000000" w:rsidDel="00000000" w:rsidP="00000000" w:rsidRDefault="00000000" w:rsidRPr="00000000" w14:paraId="0000000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F">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Nowa generacja hydraulicznego zawieszenia kabiny (HCS) wyposażona jest w nowe cylindry o niskim tarciu, zaktualizowany sterownik oraz zmodyfikowane elementy mocowania kabiny. Razem zmiany te ograniczają drgania, wstrząsy i hałas oraz chronią operatora przed nierównościami terenu.</w:t>
      </w:r>
    </w:p>
    <w:p w:rsidR="00000000" w:rsidDel="00000000" w:rsidP="00000000" w:rsidRDefault="00000000" w:rsidRPr="00000000" w14:paraId="00000010">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 modelach MY27 przeprojektowana kolumna kierownicy z regulacją pamięci sterowaną nożnie poprawia ergonomię i zapewnia stałą pozycję jazdy. Nowa, profilowana kierownica skórzana o średnicy 33 cm oraz bardziej płaski kąt kolumny kierownicy zwiększają precyzję i komfort sterowania, natomiast nowy układ hamulcowy oparty na wydatku oraz pedały typu samochodowego zapewniają progresywne hamowanie i łatwą zmianę pedałów bez odrywania pięty. Regulowane tłumienie siedzenia, szersze opcje obręczy, układ kierowniczy o zmiennym przełożeniu oraz nowy Reactive Steering uzupełniają pakiet Sport Package Pro.</w:t>
      </w:r>
    </w:p>
    <w:p w:rsidR="00000000" w:rsidDel="00000000" w:rsidP="00000000" w:rsidRDefault="00000000" w:rsidRPr="00000000" w14:paraId="0000001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3">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4">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Kabina CommandView™ 4: zmodyfikowany układ, widoczność i redukcja hałasu</w:t>
      </w:r>
    </w:p>
    <w:p w:rsidR="00000000" w:rsidDel="00000000" w:rsidP="00000000" w:rsidRDefault="00000000" w:rsidRPr="00000000" w14:paraId="00000015">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6">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Ciągniki 6R MY27 wprowadzają wielofunkcyjną kabinę CommandView™ 4, zaprojektowaną w celu poprawy ergonomii, widoczności i komfortu akustycznego. Zwiększona objętość kabiny i zmodyfikowany układ zapewniają więcej miejsca na nogi oraz bardziej naturalną pozycję siedzącą.</w:t>
      </w:r>
    </w:p>
    <w:p w:rsidR="00000000" w:rsidDel="00000000" w:rsidP="00000000" w:rsidRDefault="00000000" w:rsidRPr="00000000" w14:paraId="0000001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8">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Przeprojektowana konstrukcja kabiny z nachylonymi do przodu słupkami C oraz zakrzywioną tylną szybą poprawia widoczność narzędzi tylnych nawet o 20% w porównaniu z poprzednim modelem. Poziom hałasu wewnątrz kabiny wynosi 66 dB(A), a osiągnięto to dzięki takim rozwiązaniom jak przeniesienie zaworów układu kierowniczego i hamulcowego poza kabinę, zoptymalizowane mocowanie kabiny, cichsze dmuchawy klimatyzacji oraz dźwiękochłonna podłoga.</w:t>
      </w:r>
    </w:p>
    <w:p w:rsidR="00000000" w:rsidDel="00000000" w:rsidP="00000000" w:rsidRDefault="00000000" w:rsidRPr="00000000" w14:paraId="00000019">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A">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Nowa generacja CommandARM™ oferuje dodatkowy wyświetlacz komfortu do regulacji siedzenia, CommandARM™ oraz ustawień kabiny, w tym klimatyzacji, multimediów i nowego oświetlenia ambientowego w dziewięciu kolorach. Standardowe joysticki CommandX™ Plus lub opcjonalne CommandX™ Pro są dostępne dla nowych przekładni e19™ full PowerShift oraz AutoPowr™. Nowy „Vision Seat” uzupełnia ofertę foteli, oferując obrót o 50°, elektryczną regulację oraz funkcje premium, takie jak wentylacja szyi.</w:t>
      </w:r>
    </w:p>
    <w:p w:rsidR="00000000" w:rsidDel="00000000" w:rsidP="00000000" w:rsidRDefault="00000000" w:rsidRPr="00000000" w14:paraId="0000001B">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C">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Dalsze aktualizacje kabiny obejmują radio z ekranem dotykowym z bezprzewodowym Apple CarPlay i Android Auto, system audio 6.1 z subwooferem, bezprzewodowe ładowanie telefonu w standardzie, do czterech portów USB-C, lodówkę o pojemności 8,5 litra z chłodzeniem kompresorowym oraz wydajniejszy system klimatyzacji. Dodatkowe ulepszenia funkcjonalne obejmują automatyczne wstępne uruchomienie wyświetlacza przy otwarciu drzwi, wycieraczkę o zakresie 320 stopni, nową wycieraczkę po prawej stronie, automatyczne blokowanie osi skrętnej przyczepy podczas cofania oraz w pełni zintegrowany filtr kabinowy kategorii IV.</w:t>
      </w:r>
    </w:p>
    <w:p w:rsidR="00000000" w:rsidDel="00000000" w:rsidP="00000000" w:rsidRDefault="00000000" w:rsidRPr="00000000" w14:paraId="0000001D">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F">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Rolnictwo precyzyjne: sprzęt zainstalowany, funkcje aktywowane licencją</w:t>
      </w:r>
    </w:p>
    <w:p w:rsidR="00000000" w:rsidDel="00000000" w:rsidP="00000000" w:rsidRDefault="00000000" w:rsidRPr="00000000" w14:paraId="00000020">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1">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Wszystkie ciągniki 6R MY27 są dostarczane z zintegrowanym odbiornikiem StarFire™ 7500, terminalem G5 CommandCenter™ oraz modemem JDLink™, co umożliwia natychmiastowy dostęp do prowadzenia równoległego, automatyzacji oraz nawet nadzorowanej autonomii, zależnie od wybranej licencji. Dostępne funkcje obejmują AutoPath™ Rows and Boundaries, AutoTrac™ Turn Automation, pasywne prowadzenie narzędzia oraz wizualizację map satelitarnych. Funkcja In-Field Data Sharing synchronizuje wiele maszyn pracujących nad tym samym zadaniem, natomiast DataSync przesyła dokumentację bezprzewodowo do John Deere Operations Center™.</w:t>
      </w:r>
    </w:p>
    <w:p w:rsidR="00000000" w:rsidDel="00000000" w:rsidP="00000000" w:rsidRDefault="00000000" w:rsidRPr="00000000" w14:paraId="0000002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3">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Zautomatyzowane raporty pracy dostarczają usługodawcom czytelną dokumentację gotową do fakturowania dla każdego zadania, zmniejszając nakład pracy administracyjnej. Zarządzanie maszynami i flotą w czasie rzeczywistym zwiększa przejrzystość wykorzystania, statusu i logistyki. Funkcja „Work Plan Sharing” z klientami usprawnia przygotowanie pracy i zapobiega błędom, natomiast opcjonalny Machine Sync umożliwia efektywną współpracę w trybie lider–naśladowca w logistyce zbiorów.</w:t>
      </w:r>
    </w:p>
    <w:p w:rsidR="00000000" w:rsidDel="00000000" w:rsidP="00000000" w:rsidRDefault="00000000" w:rsidRPr="00000000" w14:paraId="0000002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6">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Konserwacja: łatwy dostęp serwisowy, długie interwały i diagnostyka zdalna</w:t>
      </w:r>
    </w:p>
    <w:p w:rsidR="00000000" w:rsidDel="00000000" w:rsidP="00000000" w:rsidRDefault="00000000" w:rsidRPr="00000000" w14:paraId="00000027">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8">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Codzienna obsługa 6R jest prosta i ekonomiczna dzięki kontroli serwisowej z poziomu ziemi, wydłużonym interwałom serwisowym do 750 godzin dla silnika i 1500 godzin dla przekładni oraz hydrauliki, jedynie 14 punktom smarowania oraz fabrycznie montowanemu wentylatorowi rewersyjnemu. Osiem zintegrowanych świateł LED oraz kamery z przodu i z tyłu wspomagają bezpieczną obsługę i łatwe podłączanie narzędzi zarówno w dzień, jak i w nocy. Dzięki ponad 2000 punktom danych diagnostyki zdalnej technicy mogą szybciej identyfikować problemy, wspierani przez predykcyjne Expert Alerts oraz Remote Display Control, zapewniające efektywne, proaktywne wsparcie. Wysuwana, zabezpieczona przed kurzem szuflada narzędziowa utrzymuje niezbędne narzędzia w porządku i w zasięgu ręki.</w:t>
      </w:r>
    </w:p>
    <w:p w:rsidR="00000000" w:rsidDel="00000000" w:rsidP="00000000" w:rsidRDefault="00000000" w:rsidRPr="00000000" w14:paraId="00000029">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B">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Najważniejsze modele: 6R 240 i 6R 260 – specjaliści dla usługodawców i dużych gospodarstw polowych</w:t>
      </w:r>
    </w:p>
    <w:p w:rsidR="00000000" w:rsidDel="00000000" w:rsidP="00000000" w:rsidRDefault="00000000" w:rsidRPr="00000000" w14:paraId="0000002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D">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Przy średniej masie wysyłkowej 8 900 kg i mocy do 291 KM z Intelligent Power Management (IPM), nowy 6R 240 oferuje wyjątkową gęstość mocy wynoszącą zaledwie 30,5 kg na KM. Łączy silnik z doładowaniem szeregowym modelu 6R 260 z kompaktowym rozstawem osi 2 800 mm, tworząc bardzo wydajną, uniwersalną maszynę, szczególnie odpowiednią do prac usługowych. Standardowa przekładnia AutoPowr™ oferuje do 85% sprawności, wspierana przez hydraulikę do 210 l/min, nawet sześć całkowicie niezależnych tylnych zaworów SCV oraz dwa przednie SCV i złącze hydrauliczne Power Beyond. Mały promień skrętu 5,6 m podkreśla wszechstronność w pracach siewnych, koszeniu, belowaniu i transporcie.</w:t>
      </w:r>
    </w:p>
    <w:p w:rsidR="00000000" w:rsidDel="00000000" w:rsidP="00000000" w:rsidRDefault="00000000" w:rsidRPr="00000000" w14:paraId="0000002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F">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Na szczycie gamy model MY27 6R 260 oferuje do 305 KM z IPM i wprowadza nową przekładnię e19™ full powershift. Oparta na technologii PowrQuad™, integruje konstrukcję z podwójnym sprzęgłem oraz zaawansowane zawory proporcjonalne, zapewniające płynną, nieprzerwaną zmianę biegów, bardziej dynamiczną jazdę oraz wyjątkową wydajność uciągu. W transporcie drogowym funkcje scroll i skip umożliwiają płynne i szybkie przyspieszenie.</w:t>
      </w:r>
    </w:p>
    <w:p w:rsidR="00000000" w:rsidDel="00000000" w:rsidP="00000000" w:rsidRDefault="00000000" w:rsidRPr="00000000" w14:paraId="00000030">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1">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Specyfikacja obejmuje również zintegrowany jednoliniowy system centralnego pompowania opon (CTIS) z dedykowanym kompresorem dwutłokowym o wydajności 700 l/min, który pozwala napompować 1 bar w zaledwie 4:30 minuty. Dla modeli 6R 230 i 6R 260 opcjonalny system EZ Ballast umożliwia dodanie do 1 700 kg za naciśnięciem przycisku przy jednoczesnym zachowaniu idealnego rozkładu masy 40/60.</w:t>
      </w:r>
    </w:p>
    <w:p w:rsidR="00000000" w:rsidDel="00000000" w:rsidP="00000000" w:rsidRDefault="00000000" w:rsidRPr="00000000" w14:paraId="0000003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4">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Kluczowe dane techniczne 6R 240 &amp; 6R 260</w:t>
      </w:r>
    </w:p>
    <w:p w:rsidR="00000000" w:rsidDel="00000000" w:rsidP="00000000" w:rsidRDefault="00000000" w:rsidRPr="00000000" w14:paraId="00000035">
      <w:pPr>
        <w:spacing w:after="120" w:lineRule="auto"/>
        <w:rPr>
          <w:rFonts w:ascii="Verdana" w:cs="Verdana" w:eastAsia="Verdana" w:hAnsi="Verdana"/>
          <w:b w:val="1"/>
          <w:bCs w:val="1"/>
          <w:sz w:val="24"/>
          <w:szCs w:val="24"/>
        </w:rPr>
      </w:pPr>
      <w:r w:rsidDel="00000000" w:rsidR="00000000" w:rsidRPr="00000000">
        <w:rPr>
          <w:rtl w:val="0"/>
        </w:rPr>
      </w:r>
    </w:p>
    <w:tbl>
      <w:tblPr>
        <w:tblStyle w:val="Table1"/>
        <w:tblW w:w="9056.0" w:type="dxa"/>
        <w:jc w:val="left"/>
        <w:tblLayout w:type="fixed"/>
        <w:tblLook w:val="0400"/>
      </w:tblPr>
      <w:tblGrid>
        <w:gridCol w:w="4207"/>
        <w:gridCol w:w="1648"/>
        <w:gridCol w:w="3201"/>
        <w:tblGridChange w:id="0">
          <w:tblGrid>
            <w:gridCol w:w="4207"/>
            <w:gridCol w:w="1648"/>
            <w:gridCol w:w="3201"/>
          </w:tblGrid>
        </w:tblGridChange>
      </w:tblGrid>
      <w:tr>
        <w:trPr>
          <w:cantSplit w:val="0"/>
          <w:tblHeader w:val="0"/>
        </w:trPr>
        <w:tc>
          <w:tcPr>
            <w:tcBorders>
              <w:top w:color="e6e6e6" w:space="0" w:sz="6" w:val="single"/>
              <w:left w:color="e6e6e6" w:space="0" w:sz="6" w:val="single"/>
              <w:bottom w:color="e6e6e6" w:space="0" w:sz="6" w:val="single"/>
              <w:right w:color="e6e6e6" w:space="0" w:sz="6" w:val="single"/>
            </w:tcBorders>
            <w:shd w:fill="f5f5f5" w:val="clear"/>
            <w:vAlign w:val="center"/>
          </w:tcPr>
          <w:p w:rsidR="00000000" w:rsidDel="00000000" w:rsidP="00000000" w:rsidRDefault="00000000" w:rsidRPr="00000000" w14:paraId="00000036">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Specyfikacja</w:t>
            </w:r>
          </w:p>
        </w:tc>
        <w:tc>
          <w:tcPr>
            <w:tcBorders>
              <w:top w:color="e6e6e6" w:space="0" w:sz="6" w:val="single"/>
              <w:left w:color="e6e6e6" w:space="0" w:sz="6" w:val="single"/>
              <w:bottom w:color="e6e6e6" w:space="0" w:sz="6" w:val="single"/>
              <w:right w:color="e6e6e6" w:space="0" w:sz="6" w:val="single"/>
            </w:tcBorders>
            <w:shd w:fill="f5f5f5" w:val="clear"/>
            <w:vAlign w:val="center"/>
          </w:tcPr>
          <w:p w:rsidR="00000000" w:rsidDel="00000000" w:rsidP="00000000" w:rsidRDefault="00000000" w:rsidRPr="00000000" w14:paraId="00000037">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6R 240</w:t>
            </w:r>
          </w:p>
        </w:tc>
        <w:tc>
          <w:tcPr>
            <w:tcBorders>
              <w:top w:color="e6e6e6" w:space="0" w:sz="6" w:val="single"/>
              <w:left w:color="e6e6e6" w:space="0" w:sz="6" w:val="single"/>
              <w:bottom w:color="e6e6e6" w:space="0" w:sz="6" w:val="single"/>
              <w:right w:color="e6e6e6" w:space="0" w:sz="6" w:val="single"/>
            </w:tcBorders>
            <w:shd w:fill="f5f5f5" w:val="clear"/>
            <w:vAlign w:val="center"/>
          </w:tcPr>
          <w:p w:rsidR="00000000" w:rsidDel="00000000" w:rsidP="00000000" w:rsidRDefault="00000000" w:rsidRPr="00000000" w14:paraId="00000038">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6R 260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39">
            <w:pPr>
              <w:rPr>
                <w:rFonts w:ascii="Verdana" w:cs="Verdana" w:eastAsia="Verdana" w:hAnsi="Verdana"/>
              </w:rPr>
            </w:pPr>
            <w:r w:rsidDel="00000000" w:rsidR="00000000" w:rsidRPr="00000000">
              <w:rPr>
                <w:rFonts w:ascii="Verdana" w:cs="Verdana" w:eastAsia="Verdana" w:hAnsi="Verdana"/>
                <w:rtl w:val="0"/>
              </w:rPr>
              <w:t xml:space="preserve">Silnik</w:t>
            </w:r>
          </w:p>
        </w:tc>
        <w:tc>
          <w:tcPr>
            <w:gridSpan w:val="2"/>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3A">
            <w:pPr>
              <w:jc w:val="center"/>
              <w:rPr>
                <w:rFonts w:ascii="Verdana" w:cs="Verdana" w:eastAsia="Verdana" w:hAnsi="Verdana"/>
              </w:rPr>
            </w:pPr>
            <w:sdt>
              <w:sdtPr>
                <w:id w:val="1773471480"/>
                <w:tag w:val="goog_rdk_0"/>
              </w:sdtPr>
              <w:sdtContent>
                <w:r w:rsidDel="00000000" w:rsidR="00000000" w:rsidRPr="00000000">
                  <w:rPr>
                    <w:rFonts w:ascii="Arial Unicode MS" w:cs="Arial Unicode MS" w:eastAsia="Arial Unicode MS" w:hAnsi="Arial Unicode MS"/>
                    <w:rtl w:val="0"/>
                  </w:rPr>
                  <w:t xml:space="preserve">6.8 l John Deere PowerTech™ PSS</w:t>
                </w:r>
              </w:sdtContent>
            </w:sdt>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3C">
            <w:pPr>
              <w:rPr>
                <w:rFonts w:ascii="Verdana" w:cs="Verdana" w:eastAsia="Verdana" w:hAnsi="Verdana"/>
              </w:rPr>
            </w:pPr>
            <w:r w:rsidDel="00000000" w:rsidR="00000000" w:rsidRPr="00000000">
              <w:rPr>
                <w:rFonts w:ascii="Verdana" w:cs="Verdana" w:eastAsia="Verdana" w:hAnsi="Verdana"/>
                <w:rtl w:val="0"/>
              </w:rPr>
              <w:t xml:space="preserve">Moc znamionowa silnika, KM</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3D">
            <w:pPr>
              <w:jc w:val="center"/>
              <w:rPr>
                <w:rFonts w:ascii="Verdana" w:cs="Verdana" w:eastAsia="Verdana" w:hAnsi="Verdana"/>
              </w:rPr>
            </w:pPr>
            <w:r w:rsidDel="00000000" w:rsidR="00000000" w:rsidRPr="00000000">
              <w:rPr>
                <w:rFonts w:ascii="Verdana" w:cs="Verdana" w:eastAsia="Verdana" w:hAnsi="Verdana"/>
                <w:rtl w:val="0"/>
              </w:rPr>
              <w:t xml:space="preserve">240</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3E">
            <w:pPr>
              <w:jc w:val="center"/>
              <w:rPr>
                <w:rFonts w:ascii="Verdana" w:cs="Verdana" w:eastAsia="Verdana" w:hAnsi="Verdana"/>
              </w:rPr>
            </w:pPr>
            <w:r w:rsidDel="00000000" w:rsidR="00000000" w:rsidRPr="00000000">
              <w:rPr>
                <w:rFonts w:ascii="Verdana" w:cs="Verdana" w:eastAsia="Verdana" w:hAnsi="Verdana"/>
                <w:rtl w:val="0"/>
              </w:rPr>
              <w:t xml:space="preserve">260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3F">
            <w:pPr>
              <w:rPr>
                <w:rFonts w:ascii="Verdana" w:cs="Verdana" w:eastAsia="Verdana" w:hAnsi="Verdana"/>
              </w:rPr>
            </w:pPr>
            <w:r w:rsidDel="00000000" w:rsidR="00000000" w:rsidRPr="00000000">
              <w:rPr>
                <w:rFonts w:ascii="Verdana" w:cs="Verdana" w:eastAsia="Verdana" w:hAnsi="Verdana"/>
                <w:rtl w:val="0"/>
              </w:rPr>
              <w:t xml:space="preserve">Maksymalna moc z IPM, KM</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0">
            <w:pPr>
              <w:jc w:val="center"/>
              <w:rPr>
                <w:rFonts w:ascii="Verdana" w:cs="Verdana" w:eastAsia="Verdana" w:hAnsi="Verdana"/>
              </w:rPr>
            </w:pPr>
            <w:r w:rsidDel="00000000" w:rsidR="00000000" w:rsidRPr="00000000">
              <w:rPr>
                <w:rFonts w:ascii="Verdana" w:cs="Verdana" w:eastAsia="Verdana" w:hAnsi="Verdana"/>
                <w:rtl w:val="0"/>
              </w:rPr>
              <w:t xml:space="preserve">do 291</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1">
            <w:pPr>
              <w:jc w:val="center"/>
              <w:rPr>
                <w:rFonts w:ascii="Verdana" w:cs="Verdana" w:eastAsia="Verdana" w:hAnsi="Verdana"/>
              </w:rPr>
            </w:pPr>
            <w:r w:rsidDel="00000000" w:rsidR="00000000" w:rsidRPr="00000000">
              <w:rPr>
                <w:rFonts w:ascii="Verdana" w:cs="Verdana" w:eastAsia="Verdana" w:hAnsi="Verdana"/>
                <w:rtl w:val="0"/>
              </w:rPr>
              <w:t xml:space="preserve">do 305</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2">
            <w:pPr>
              <w:rPr>
                <w:rFonts w:ascii="Verdana" w:cs="Verdana" w:eastAsia="Verdana" w:hAnsi="Verdana"/>
              </w:rPr>
            </w:pPr>
            <w:r w:rsidDel="00000000" w:rsidR="00000000" w:rsidRPr="00000000">
              <w:rPr>
                <w:rFonts w:ascii="Verdana" w:cs="Verdana" w:eastAsia="Verdana" w:hAnsi="Verdana"/>
                <w:rtl w:val="0"/>
              </w:rPr>
              <w:t xml:space="preserve">Średnia masa wysyłkowa, kg</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3">
            <w:pPr>
              <w:jc w:val="center"/>
              <w:rPr>
                <w:rFonts w:ascii="Verdana" w:cs="Verdana" w:eastAsia="Verdana" w:hAnsi="Verdana"/>
              </w:rPr>
            </w:pPr>
            <w:r w:rsidDel="00000000" w:rsidR="00000000" w:rsidRPr="00000000">
              <w:rPr>
                <w:rFonts w:ascii="Verdana" w:cs="Verdana" w:eastAsia="Verdana" w:hAnsi="Verdana"/>
                <w:rtl w:val="0"/>
              </w:rPr>
              <w:t xml:space="preserve">8,900</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4">
            <w:pPr>
              <w:jc w:val="center"/>
              <w:rPr>
                <w:rFonts w:ascii="Verdana" w:cs="Verdana" w:eastAsia="Verdana" w:hAnsi="Verdana"/>
              </w:rPr>
            </w:pPr>
            <w:r w:rsidDel="00000000" w:rsidR="00000000" w:rsidRPr="00000000">
              <w:rPr>
                <w:rFonts w:ascii="Verdana" w:cs="Verdana" w:eastAsia="Verdana" w:hAnsi="Verdana"/>
                <w:rtl w:val="0"/>
              </w:rPr>
              <w:t xml:space="preserve">9,850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5">
            <w:pPr>
              <w:rPr>
                <w:rFonts w:ascii="Verdana" w:cs="Verdana" w:eastAsia="Verdana" w:hAnsi="Verdana"/>
              </w:rPr>
            </w:pPr>
            <w:r w:rsidDel="00000000" w:rsidR="00000000" w:rsidRPr="00000000">
              <w:rPr>
                <w:rFonts w:ascii="Verdana" w:cs="Verdana" w:eastAsia="Verdana" w:hAnsi="Verdana"/>
                <w:rtl w:val="0"/>
              </w:rPr>
              <w:t xml:space="preserve">Stosunek mocy do masy, kg/KM</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6">
            <w:pPr>
              <w:jc w:val="center"/>
              <w:rPr>
                <w:rFonts w:ascii="Verdana" w:cs="Verdana" w:eastAsia="Verdana" w:hAnsi="Verdana"/>
              </w:rPr>
            </w:pPr>
            <w:r w:rsidDel="00000000" w:rsidR="00000000" w:rsidRPr="00000000">
              <w:rPr>
                <w:rFonts w:ascii="Verdana" w:cs="Verdana" w:eastAsia="Verdana" w:hAnsi="Verdana"/>
                <w:rtl w:val="0"/>
              </w:rPr>
              <w:t xml:space="preserve">30.5</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7">
            <w:pPr>
              <w:jc w:val="center"/>
              <w:rPr>
                <w:rFonts w:ascii="Verdana" w:cs="Verdana" w:eastAsia="Verdana" w:hAnsi="Verdana"/>
              </w:rPr>
            </w:pPr>
            <w:r w:rsidDel="00000000" w:rsidR="00000000" w:rsidRPr="00000000">
              <w:rPr>
                <w:rFonts w:ascii="Verdana" w:cs="Verdana" w:eastAsia="Verdana" w:hAnsi="Verdana"/>
                <w:rtl w:val="0"/>
              </w:rPr>
              <w:t xml:space="preserve">32</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8">
            <w:pPr>
              <w:rPr>
                <w:rFonts w:ascii="Verdana" w:cs="Verdana" w:eastAsia="Verdana" w:hAnsi="Verdana"/>
              </w:rPr>
            </w:pPr>
            <w:r w:rsidDel="00000000" w:rsidR="00000000" w:rsidRPr="00000000">
              <w:rPr>
                <w:rFonts w:ascii="Verdana" w:cs="Verdana" w:eastAsia="Verdana" w:hAnsi="Verdana"/>
                <w:rtl w:val="0"/>
              </w:rPr>
              <w:t xml:space="preserve">Maksymalna dopuszczalna masa całkowita (kg)</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9">
            <w:pPr>
              <w:jc w:val="center"/>
              <w:rPr>
                <w:rFonts w:ascii="Verdana" w:cs="Verdana" w:eastAsia="Verdana" w:hAnsi="Verdana"/>
              </w:rPr>
            </w:pPr>
            <w:r w:rsidDel="00000000" w:rsidR="00000000" w:rsidRPr="00000000">
              <w:rPr>
                <w:rFonts w:ascii="Verdana" w:cs="Verdana" w:eastAsia="Verdana" w:hAnsi="Verdana"/>
                <w:rtl w:val="0"/>
              </w:rPr>
              <w:t xml:space="preserve">13,500</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A">
            <w:pPr>
              <w:jc w:val="center"/>
              <w:rPr>
                <w:rFonts w:ascii="Verdana" w:cs="Verdana" w:eastAsia="Verdana" w:hAnsi="Verdana"/>
              </w:rPr>
            </w:pPr>
            <w:r w:rsidDel="00000000" w:rsidR="00000000" w:rsidRPr="00000000">
              <w:rPr>
                <w:rFonts w:ascii="Verdana" w:cs="Verdana" w:eastAsia="Verdana" w:hAnsi="Verdana"/>
                <w:rtl w:val="0"/>
              </w:rPr>
              <w:t xml:space="preserve">15,000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B">
            <w:pPr>
              <w:rPr>
                <w:rFonts w:ascii="Verdana" w:cs="Verdana" w:eastAsia="Verdana" w:hAnsi="Verdana"/>
              </w:rPr>
            </w:pPr>
            <w:r w:rsidDel="00000000" w:rsidR="00000000" w:rsidRPr="00000000">
              <w:rPr>
                <w:rFonts w:ascii="Verdana" w:cs="Verdana" w:eastAsia="Verdana" w:hAnsi="Verdana"/>
                <w:rtl w:val="0"/>
              </w:rPr>
              <w:t xml:space="preserve">Opcje przekładni (40 &amp; 50 km/h*)</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C">
            <w:pPr>
              <w:jc w:val="center"/>
              <w:rPr>
                <w:rFonts w:ascii="Verdana" w:cs="Verdana" w:eastAsia="Verdana" w:hAnsi="Verdana"/>
              </w:rPr>
            </w:pPr>
            <w:sdt>
              <w:sdtPr>
                <w:id w:val="-432830586"/>
                <w:tag w:val="goog_rdk_1"/>
              </w:sdtPr>
              <w:sdtContent>
                <w:r w:rsidDel="00000000" w:rsidR="00000000" w:rsidRPr="00000000">
                  <w:rPr>
                    <w:rFonts w:ascii="Arial Unicode MS" w:cs="Arial Unicode MS" w:eastAsia="Arial Unicode MS" w:hAnsi="Arial Unicode MS"/>
                    <w:rtl w:val="0"/>
                  </w:rPr>
                  <w:t xml:space="preserve">AutoPowr™ (IVT)</w:t>
                </w:r>
              </w:sdtContent>
            </w:sdt>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D">
            <w:pPr>
              <w:jc w:val="center"/>
              <w:rPr>
                <w:rFonts w:ascii="Verdana" w:cs="Verdana" w:eastAsia="Verdana" w:hAnsi="Verdana"/>
              </w:rPr>
            </w:pPr>
            <w:sdt>
              <w:sdtPr>
                <w:id w:val="1381311786"/>
                <w:tag w:val="goog_rdk_2"/>
              </w:sdtPr>
              <w:sdtContent>
                <w:r w:rsidDel="00000000" w:rsidR="00000000" w:rsidRPr="00000000">
                  <w:rPr>
                    <w:rFonts w:ascii="Arial Unicode MS" w:cs="Arial Unicode MS" w:eastAsia="Arial Unicode MS" w:hAnsi="Arial Unicode MS"/>
                    <w:rtl w:val="0"/>
                  </w:rPr>
                  <w:t xml:space="preserve">AutoPowr™ (IVT), e19</w:t>
                </w:r>
              </w:sdtContent>
            </w:sdt>
            <w:sdt>
              <w:sdtPr>
                <w:id w:val="-105167326"/>
                <w:tag w:val="goog_rdk_3"/>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Fonts w:ascii="Verdana" w:cs="Verdana" w:eastAsia="Verdana" w:hAnsi="Verdana"/>
                <w:rtl w:val="0"/>
              </w:rPr>
              <w:t xml:space="preserve"> full powershift</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E">
            <w:pPr>
              <w:rPr>
                <w:rFonts w:ascii="Verdana" w:cs="Verdana" w:eastAsia="Verdana" w:hAnsi="Verdana"/>
              </w:rPr>
            </w:pPr>
            <w:r w:rsidDel="00000000" w:rsidR="00000000" w:rsidRPr="00000000">
              <w:rPr>
                <w:rFonts w:ascii="Verdana" w:cs="Verdana" w:eastAsia="Verdana" w:hAnsi="Verdana"/>
                <w:rtl w:val="0"/>
              </w:rPr>
              <w:t xml:space="preserve">CTIS (centralny system pompowania opon)</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F">
            <w:pPr>
              <w:jc w:val="center"/>
              <w:rPr>
                <w:rFonts w:ascii="Verdana" w:cs="Verdana" w:eastAsia="Verdana" w:hAnsi="Verdana"/>
              </w:rPr>
            </w:pPr>
            <w:r w:rsidDel="00000000" w:rsidR="00000000" w:rsidRPr="00000000">
              <w:rPr>
                <w:rFonts w:ascii="Verdana" w:cs="Verdana" w:eastAsia="Verdana" w:hAnsi="Verdana"/>
                <w:rtl w:val="0"/>
              </w:rPr>
              <w:t xml:space="preserve">Opcja</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0">
            <w:pPr>
              <w:jc w:val="center"/>
              <w:rPr>
                <w:rFonts w:ascii="Verdana" w:cs="Verdana" w:eastAsia="Verdana" w:hAnsi="Verdana"/>
              </w:rPr>
            </w:pPr>
            <w:r w:rsidDel="00000000" w:rsidR="00000000" w:rsidRPr="00000000">
              <w:rPr>
                <w:rFonts w:ascii="Verdana" w:cs="Verdana" w:eastAsia="Verdana" w:hAnsi="Verdana"/>
                <w:rtl w:val="0"/>
              </w:rPr>
              <w:t xml:space="preserve">Opcja</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1">
            <w:pPr>
              <w:rPr>
                <w:rFonts w:ascii="Verdana" w:cs="Verdana" w:eastAsia="Verdana" w:hAnsi="Verdana"/>
              </w:rPr>
            </w:pPr>
            <w:r w:rsidDel="00000000" w:rsidR="00000000" w:rsidRPr="00000000">
              <w:rPr>
                <w:rFonts w:ascii="Verdana" w:cs="Verdana" w:eastAsia="Verdana" w:hAnsi="Verdana"/>
                <w:rtl w:val="0"/>
              </w:rPr>
              <w:t xml:space="preserve">EZ Ballast</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2">
            <w:pPr>
              <w:jc w:val="center"/>
              <w:rPr>
                <w:rFonts w:ascii="Verdana" w:cs="Verdana" w:eastAsia="Verdana" w:hAnsi="Verdana"/>
              </w:rPr>
            </w:pPr>
            <w:r w:rsidDel="00000000" w:rsidR="00000000" w:rsidRPr="00000000">
              <w:rPr>
                <w:rFonts w:ascii="Verdana" w:cs="Verdana" w:eastAsia="Verdana" w:hAnsi="Verdana"/>
                <w:rtl w:val="0"/>
              </w:rPr>
              <w:t xml:space="preserve">-</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3">
            <w:pPr>
              <w:jc w:val="center"/>
              <w:rPr>
                <w:rFonts w:ascii="Verdana" w:cs="Verdana" w:eastAsia="Verdana" w:hAnsi="Verdana"/>
              </w:rPr>
            </w:pPr>
            <w:r w:rsidDel="00000000" w:rsidR="00000000" w:rsidRPr="00000000">
              <w:rPr>
                <w:rFonts w:ascii="Verdana" w:cs="Verdana" w:eastAsia="Verdana" w:hAnsi="Verdana"/>
                <w:rtl w:val="0"/>
              </w:rPr>
              <w:t xml:space="preserve">Opcja</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4">
            <w:pPr>
              <w:rPr>
                <w:rFonts w:ascii="Verdana" w:cs="Verdana" w:eastAsia="Verdana" w:hAnsi="Verdana"/>
              </w:rPr>
            </w:pPr>
            <w:r w:rsidDel="00000000" w:rsidR="00000000" w:rsidRPr="00000000">
              <w:rPr>
                <w:rFonts w:ascii="Verdana" w:cs="Verdana" w:eastAsia="Verdana" w:hAnsi="Verdana"/>
                <w:rtl w:val="0"/>
              </w:rPr>
              <w:t xml:space="preserve">Układ hydrauliczny (l/min)</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5">
            <w:pPr>
              <w:jc w:val="center"/>
              <w:rPr>
                <w:rFonts w:ascii="Verdana" w:cs="Verdana" w:eastAsia="Verdana" w:hAnsi="Verdana"/>
              </w:rPr>
            </w:pPr>
            <w:r w:rsidDel="00000000" w:rsidR="00000000" w:rsidRPr="00000000">
              <w:rPr>
                <w:rFonts w:ascii="Verdana" w:cs="Verdana" w:eastAsia="Verdana" w:hAnsi="Verdana"/>
                <w:rtl w:val="0"/>
              </w:rPr>
              <w:t xml:space="preserve">155/210</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6">
            <w:pPr>
              <w:jc w:val="center"/>
              <w:rPr>
                <w:rFonts w:ascii="Verdana" w:cs="Verdana" w:eastAsia="Verdana" w:hAnsi="Verdana"/>
              </w:rPr>
            </w:pPr>
            <w:r w:rsidDel="00000000" w:rsidR="00000000" w:rsidRPr="00000000">
              <w:rPr>
                <w:rFonts w:ascii="Verdana" w:cs="Verdana" w:eastAsia="Verdana" w:hAnsi="Verdana"/>
                <w:rtl w:val="0"/>
              </w:rPr>
              <w:t xml:space="preserve">210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7">
            <w:pPr>
              <w:rPr>
                <w:rFonts w:ascii="Verdana" w:cs="Verdana" w:eastAsia="Verdana" w:hAnsi="Verdana"/>
              </w:rPr>
            </w:pPr>
            <w:r w:rsidDel="00000000" w:rsidR="00000000" w:rsidRPr="00000000">
              <w:rPr>
                <w:rFonts w:ascii="Verdana" w:cs="Verdana" w:eastAsia="Verdana" w:hAnsi="Verdana"/>
                <w:rtl w:val="0"/>
              </w:rPr>
              <w:t xml:space="preserve">Maks. udźwig tylnego podnośnika na hakach (kg)</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8">
            <w:pPr>
              <w:jc w:val="center"/>
              <w:rPr>
                <w:rFonts w:ascii="Verdana" w:cs="Verdana" w:eastAsia="Verdana" w:hAnsi="Verdana"/>
              </w:rPr>
            </w:pPr>
            <w:r w:rsidDel="00000000" w:rsidR="00000000" w:rsidRPr="00000000">
              <w:rPr>
                <w:rFonts w:ascii="Verdana" w:cs="Verdana" w:eastAsia="Verdana" w:hAnsi="Verdana"/>
                <w:rtl w:val="0"/>
              </w:rPr>
              <w:t xml:space="preserve">9,550</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9">
            <w:pPr>
              <w:jc w:val="center"/>
              <w:rPr>
                <w:rFonts w:ascii="Verdana" w:cs="Verdana" w:eastAsia="Verdana" w:hAnsi="Verdana"/>
              </w:rPr>
            </w:pPr>
            <w:r w:rsidDel="00000000" w:rsidR="00000000" w:rsidRPr="00000000">
              <w:rPr>
                <w:rFonts w:ascii="Verdana" w:cs="Verdana" w:eastAsia="Verdana" w:hAnsi="Verdana"/>
                <w:rtl w:val="0"/>
              </w:rPr>
              <w:t xml:space="preserve">10,400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A">
            <w:pPr>
              <w:rPr>
                <w:rFonts w:ascii="Verdana" w:cs="Verdana" w:eastAsia="Verdana" w:hAnsi="Verdana"/>
              </w:rPr>
            </w:pPr>
            <w:r w:rsidDel="00000000" w:rsidR="00000000" w:rsidRPr="00000000">
              <w:rPr>
                <w:rFonts w:ascii="Verdana" w:cs="Verdana" w:eastAsia="Verdana" w:hAnsi="Verdana"/>
                <w:rtl w:val="0"/>
              </w:rPr>
              <w:t xml:space="preserve">Maks. udźwig przedniego podnośnika na hakach (kg)</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B">
            <w:pPr>
              <w:jc w:val="center"/>
              <w:rPr>
                <w:rFonts w:ascii="Verdana" w:cs="Verdana" w:eastAsia="Verdana" w:hAnsi="Verdana"/>
              </w:rPr>
            </w:pPr>
            <w:r w:rsidDel="00000000" w:rsidR="00000000" w:rsidRPr="00000000">
              <w:rPr>
                <w:rFonts w:ascii="Verdana" w:cs="Verdana" w:eastAsia="Verdana" w:hAnsi="Verdana"/>
                <w:rtl w:val="0"/>
              </w:rPr>
              <w:t xml:space="preserve">4,000</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C">
            <w:pPr>
              <w:jc w:val="center"/>
              <w:rPr>
                <w:rFonts w:ascii="Verdana" w:cs="Verdana" w:eastAsia="Verdana" w:hAnsi="Verdana"/>
              </w:rPr>
            </w:pPr>
            <w:r w:rsidDel="00000000" w:rsidR="00000000" w:rsidRPr="00000000">
              <w:rPr>
                <w:rFonts w:ascii="Verdana" w:cs="Verdana" w:eastAsia="Verdana" w:hAnsi="Verdana"/>
                <w:rtl w:val="0"/>
              </w:rPr>
              <w:t xml:space="preserve">5,900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D">
            <w:pPr>
              <w:rPr>
                <w:rFonts w:ascii="Verdana" w:cs="Verdana" w:eastAsia="Verdana" w:hAnsi="Verdana"/>
              </w:rPr>
            </w:pPr>
            <w:r w:rsidDel="00000000" w:rsidR="00000000" w:rsidRPr="00000000">
              <w:rPr>
                <w:rFonts w:ascii="Verdana" w:cs="Verdana" w:eastAsia="Verdana" w:hAnsi="Verdana"/>
                <w:rtl w:val="0"/>
              </w:rPr>
              <w:t xml:space="preserve">Maks. dostępne ogumienie przednie</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E">
            <w:pPr>
              <w:jc w:val="center"/>
              <w:rPr>
                <w:rFonts w:ascii="Verdana" w:cs="Verdana" w:eastAsia="Verdana" w:hAnsi="Verdana"/>
              </w:rPr>
            </w:pPr>
            <w:r w:rsidDel="00000000" w:rsidR="00000000" w:rsidRPr="00000000">
              <w:rPr>
                <w:rFonts w:ascii="Verdana" w:cs="Verdana" w:eastAsia="Verdana" w:hAnsi="Verdana"/>
                <w:rtl w:val="0"/>
              </w:rPr>
              <w:t xml:space="preserve">600/70R28</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F">
            <w:pPr>
              <w:jc w:val="center"/>
              <w:rPr>
                <w:rFonts w:ascii="Verdana" w:cs="Verdana" w:eastAsia="Verdana" w:hAnsi="Verdana"/>
              </w:rPr>
            </w:pPr>
            <w:r w:rsidDel="00000000" w:rsidR="00000000" w:rsidRPr="00000000">
              <w:rPr>
                <w:rFonts w:ascii="Verdana" w:cs="Verdana" w:eastAsia="Verdana" w:hAnsi="Verdana"/>
                <w:rtl w:val="0"/>
              </w:rPr>
              <w:t xml:space="preserve">600/70R30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60">
            <w:pPr>
              <w:rPr>
                <w:rFonts w:ascii="Verdana" w:cs="Verdana" w:eastAsia="Verdana" w:hAnsi="Verdana"/>
              </w:rPr>
            </w:pPr>
            <w:r w:rsidDel="00000000" w:rsidR="00000000" w:rsidRPr="00000000">
              <w:rPr>
                <w:rFonts w:ascii="Verdana" w:cs="Verdana" w:eastAsia="Verdana" w:hAnsi="Verdana"/>
                <w:rtl w:val="0"/>
              </w:rPr>
              <w:t xml:space="preserve">Maks. dostępne ogumienie tylne</w:t>
            </w:r>
          </w:p>
        </w:tc>
        <w:tc>
          <w:tcPr>
            <w:gridSpan w:val="2"/>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61">
            <w:pPr>
              <w:jc w:val="center"/>
              <w:rPr>
                <w:rFonts w:ascii="Verdana" w:cs="Verdana" w:eastAsia="Verdana" w:hAnsi="Verdana"/>
              </w:rPr>
            </w:pPr>
            <w:r w:rsidDel="00000000" w:rsidR="00000000" w:rsidRPr="00000000">
              <w:rPr>
                <w:rFonts w:ascii="Verdana" w:cs="Verdana" w:eastAsia="Verdana" w:hAnsi="Verdana"/>
                <w:rtl w:val="0"/>
              </w:rPr>
              <w:t xml:space="preserve">800/70R38</w:t>
            </w:r>
          </w:p>
        </w:tc>
      </w:tr>
    </w:tbl>
    <w:p w:rsidR="00000000" w:rsidDel="00000000" w:rsidP="00000000" w:rsidRDefault="00000000" w:rsidRPr="00000000" w14:paraId="00000063">
      <w:pPr>
        <w:spacing w:after="160" w:line="279" w:lineRule="auto"/>
        <w:rPr>
          <w:rFonts w:ascii="Verdana" w:cs="Verdana" w:eastAsia="Verdana" w:hAnsi="Verdana"/>
        </w:rPr>
      </w:pPr>
      <w:r w:rsidDel="00000000" w:rsidR="00000000" w:rsidRPr="00000000">
        <w:rPr>
          <w:rFonts w:ascii="Verdana" w:cs="Verdana" w:eastAsia="Verdana" w:hAnsi="Verdana"/>
          <w:sz w:val="16"/>
          <w:szCs w:val="16"/>
          <w:vertAlign w:val="superscript"/>
          <w:rtl w:val="0"/>
        </w:rPr>
        <w:t xml:space="preserve">*</w:t>
      </w:r>
      <w:r w:rsidDel="00000000" w:rsidR="00000000" w:rsidRPr="00000000">
        <w:rPr>
          <w:rFonts w:ascii="Aptos" w:cs="Aptos" w:eastAsia="Aptos" w:hAnsi="Aptos"/>
          <w:sz w:val="24"/>
          <w:szCs w:val="24"/>
          <w:rtl w:val="0"/>
        </w:rPr>
        <w:t xml:space="preserve"> </w:t>
      </w:r>
      <w:r w:rsidDel="00000000" w:rsidR="00000000" w:rsidRPr="00000000">
        <w:rPr>
          <w:rFonts w:ascii="Verdana" w:cs="Verdana" w:eastAsia="Verdana" w:hAnsi="Verdana"/>
          <w:sz w:val="16"/>
          <w:szCs w:val="16"/>
          <w:rtl w:val="0"/>
        </w:rPr>
        <w:t xml:space="preserve">w zależności od specyfikacji kraju</w:t>
      </w:r>
      <w:r w:rsidDel="00000000" w:rsidR="00000000" w:rsidRPr="00000000">
        <w:rPr>
          <w:rtl w:val="0"/>
        </w:rPr>
      </w:r>
    </w:p>
    <w:p w:rsidR="00000000" w:rsidDel="00000000" w:rsidP="00000000" w:rsidRDefault="00000000" w:rsidRPr="00000000" w14:paraId="0000006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5">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-47608</wp:posOffset>
                </wp:positionH>
                <wp:positionV relativeFrom="paragraph">
                  <wp:posOffset>-47607</wp:posOffset>
                </wp:positionV>
                <wp:extent cx="2867025" cy="396875"/>
                <wp:effectExtent b="0" l="0" r="0" t="0"/>
                <wp:wrapNone/>
                <wp:docPr id="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-47608</wp:posOffset>
                </wp:positionH>
                <wp:positionV relativeFrom="paragraph">
                  <wp:posOffset>-47607</wp:posOffset>
                </wp:positionV>
                <wp:extent cx="2867025" cy="396875"/>
                <wp:effectExtent b="0" l="0" r="0" t="0"/>
                <wp:wrapNone/>
                <wp:docPr id="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867025" cy="396875"/>
                        </a:xfrm>
                        <a:prstGeom prst="rect"/>
                        <a:ln/>
                      </pic:spPr>
                    </pic:pic>
                  </a:graphicData>
                </a:graphic>
              </wp:anchor>
            </w:drawing>
          </mc:Fallback>
        </mc:AlternateConten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28590</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5" name="image1.png"/>
            <a:graphic>
              <a:graphicData uri="http://schemas.openxmlformats.org/drawingml/2006/picture">
                <pic:pic>
                  <pic:nvPicPr>
                    <pic:cNvPr descr="C:\Users\Daria\AppData\Local\Microsoft\Windows\INetCache\IE\6XJ0ITW1\Facebook_icon_2013.svg[1].png" id="0" name="image1.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bCs w:val="1"/>
          <w:color w:val="008000"/>
        </w:rPr>
      </w:pPr>
      <w:r w:rsidDel="00000000" w:rsidR="00000000" w:rsidRPr="00000000">
        <w:rPr>
          <w:rFonts w:ascii="Verdana" w:cs="Verdana" w:eastAsia="Verdana" w:hAnsi="Verdana"/>
          <w:b w:val="1"/>
          <w:bCs w:val="1"/>
          <w:color w:val="008000"/>
          <w:rtl w:val="0"/>
        </w:rPr>
        <w:t xml:space="preserve">************************************************************</w:t>
      </w:r>
    </w:p>
    <w:p w:rsidR="00000000" w:rsidDel="00000000" w:rsidP="00000000" w:rsidRDefault="00000000" w:rsidRPr="00000000" w14:paraId="0000006E">
      <w:pPr>
        <w:spacing w:line="276" w:lineRule="auto"/>
        <w:ind w:left="5040" w:firstLine="720"/>
        <w:jc w:val="right"/>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Więcej informacji:</w:t>
      </w:r>
    </w:p>
    <w:p w:rsidR="00000000" w:rsidDel="00000000" w:rsidP="00000000" w:rsidRDefault="00000000" w:rsidRPr="00000000" w14:paraId="0000006F">
      <w:pPr>
        <w:spacing w:line="276" w:lineRule="auto"/>
        <w:jc w:val="right"/>
        <w:rPr>
          <w:rFonts w:ascii="Verdana" w:cs="Verdana" w:eastAsia="Verdana" w:hAnsi="Verdana"/>
          <w:b w:val="1"/>
          <w:bCs w:val="1"/>
          <w:sz w:val="18"/>
          <w:szCs w:val="18"/>
        </w:rPr>
      </w:pPr>
      <w:r w:rsidDel="00000000" w:rsidR="00000000" w:rsidRPr="00000000">
        <w:rPr>
          <w:rtl w:val="0"/>
        </w:rPr>
      </w:r>
    </w:p>
    <w:p w:rsidR="00000000" w:rsidDel="00000000" w:rsidP="00000000" w:rsidRDefault="00000000" w:rsidRPr="00000000" w14:paraId="00000070">
      <w:pPr>
        <w:spacing w:line="276" w:lineRule="auto"/>
        <w:ind w:left="5760" w:firstLine="0"/>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Bartosz Białas</w:t>
      </w:r>
    </w:p>
    <w:p w:rsidR="00000000" w:rsidDel="00000000" w:rsidP="00000000" w:rsidRDefault="00000000" w:rsidRPr="00000000" w14:paraId="00000071">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72">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73">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74">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75">
      <w:pPr>
        <w:spacing w:line="276" w:lineRule="auto"/>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Justyna Tomczak</w:t>
      </w:r>
    </w:p>
    <w:p w:rsidR="00000000" w:rsidDel="00000000" w:rsidP="00000000" w:rsidRDefault="00000000" w:rsidRPr="00000000" w14:paraId="00000076">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77">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78">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Verdana"/>
  <w:font w:name="Arial Unicode MS"/>
  <w:font w:name="Aptos"/>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-1190607</wp:posOffset>
              </wp:positionH>
              <wp:positionV relativeFrom="paragraph">
                <wp:posOffset>10137775</wp:posOffset>
              </wp:positionV>
              <wp:extent cx="7684770" cy="396875"/>
              <wp:effectExtent b="0" l="0" r="0" t="0"/>
              <wp:wrapNone/>
              <wp:docPr id="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-1190607</wp:posOffset>
              </wp:positionH>
              <wp:positionV relativeFrom="paragraph">
                <wp:posOffset>10137775</wp:posOffset>
              </wp:positionV>
              <wp:extent cx="7684770" cy="396875"/>
              <wp:effectExtent b="0" l="0" r="0" t="0"/>
              <wp:wrapNone/>
              <wp:docPr id="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7684770" cy="396875"/>
                      </a:xfrm>
                      <a:prstGeom prst="rect"/>
                      <a:ln/>
                    </pic:spPr>
                  </pic:pic>
                </a:graphicData>
              </a:graphic>
            </wp:anchor>
          </w:drawing>
        </mc:Fallback>
      </mc:AlternateContent>
    </w:r>
  </w:p>
  <w:p w:rsidR="00000000" w:rsidDel="00000000" w:rsidP="00000000" w:rsidRDefault="00000000" w:rsidRPr="00000000" w14:paraId="00000085">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sz w:val="18"/>
        <w:szCs w:val="18"/>
      </w:rPr>
    </w:pPr>
    <w:r w:rsidDel="00000000" w:rsidR="00000000" w:rsidRPr="00000000">
      <w:rPr>
        <w:rtl w:val="0"/>
      </w:rPr>
    </w:r>
  </w:p>
  <w:tbl>
    <w:tblPr>
      <w:tblStyle w:val="Table2"/>
      <w:tblW w:w="10575.0" w:type="dxa"/>
      <w:jc w:val="left"/>
      <w:tblInd w:w="-10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7A">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-63483</wp:posOffset>
                </wp:positionH>
                <wp:positionV relativeFrom="paragraph">
                  <wp:posOffset>17780</wp:posOffset>
                </wp:positionV>
                <wp:extent cx="2286000" cy="463550"/>
                <wp:effectExtent b="0" l="0" r="0" t="0"/>
                <wp:wrapNone/>
                <wp:docPr descr="green horiz for letterhead" id="4" name="image3.png"/>
                <a:graphic>
                  <a:graphicData uri="http://schemas.openxmlformats.org/drawingml/2006/picture">
                    <pic:pic>
                      <pic:nvPicPr>
                        <pic:cNvPr descr="green horiz for letterhead" id="0" name="image3.pn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7B">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7C">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7D">
          <w:pPr>
            <w:keepNext w:val="1"/>
            <w:keepLines w:val="0"/>
            <w:widowControl w:val="1"/>
            <w:pBdr>
              <w:top w:space="0" w:sz="0" w:val="nil"/>
              <w:left w:space="0" w:sz="0" w:val="nil"/>
              <w:bottom w:space="0" w:sz="0" w:val="nil"/>
              <w:right w:space="0" w:sz="0" w:val="nil"/>
              <w:between w:space="0" w:sz="0" w:val="nil"/>
            </w:pBdr>
            <w:shd w:fill="auto" w:val="clear"/>
            <w:spacing w:after="0" w:before="60" w:line="240" w:lineRule="auto"/>
            <w:ind w:left="0" w:right="-533"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John Deere Polska Sp. z o.o.</w:t>
          </w:r>
        </w:p>
        <w:p w:rsidR="00000000" w:rsidDel="00000000" w:rsidP="00000000" w:rsidRDefault="00000000" w:rsidRPr="00000000" w14:paraId="0000007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ul. Poznańska 1 B</w:t>
            <w:br w:type="textWrapping"/>
            <w:t xml:space="preserve">62–080 Tarnowo Podgórne Polska</w:t>
          </w:r>
        </w:p>
        <w:p w:rsidR="00000000" w:rsidDel="00000000" w:rsidP="00000000" w:rsidRDefault="00000000" w:rsidRPr="00000000" w14:paraId="0000007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Tel.: +48 61 81 15 196 Fax: +48 61 8115 197</w:t>
          </w:r>
        </w:p>
        <w:p w:rsidR="00000000" w:rsidDel="00000000" w:rsidP="00000000" w:rsidRDefault="00000000" w:rsidRPr="00000000" w14:paraId="00000080">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82">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bCs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bCs w:val="1"/>
      <w:sz w:val="22"/>
      <w:szCs w:val="22"/>
    </w:rPr>
  </w:style>
  <w:style w:type="paragraph" w:styleId="Title">
    <w:name w:val="Title"/>
    <w:basedOn w:val="Normal"/>
    <w:next w:val="Normal"/>
    <w:pPr>
      <w:spacing w:after="200" w:before="300" w:lineRule="auto"/>
    </w:pPr>
    <w:rPr>
      <w:sz w:val="48"/>
      <w:szCs w:val="48"/>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3TQ9jx0gyYPtic7SAmMJCUrBgQ==">CgMxLjAaJgoBMBIhCh8IB0IbCgdWZXJkYW5hEhBBcmlhbCBVbmljb2RlIE1TGiYKATESIQofCAdCGwoHVmVyZGFuYRIQQXJpYWwgVW5pY29kZSBNUxomCgEyEiEKHwgHQhsKB1ZlcmRhbmESEEFyaWFsIFVuaWNvZGUgTVMaJgoBMxIhCh8IB0IbCgdWZXJkYW5hEhBBcmlhbCBVbmljb2RlIE1TOAByITE5RERiblpKRHZiMGJHQnBxM2dIRnhsR2E5ZzVpNC1vcQ==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