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John Deere rozszerza serie 8R i 8RX o nowe modele o wysokiej mocy do dużych gospodarstw rolnych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Model topowy 8R/8RX 540 – najmocniejszy ciągnik o standardowej konstrukcji na świecie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Walldorf, Niemcy, 25 lutego 2026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John Deere wprowadza trzy nowe modele ciągników o wysokiej mocy do serii 8R i 8RX, oferujące moc znamionową 440 KM, 490 KM i 540 KM. Modele zaprojektowano z myślą o wymagającym ciężkim uciągu oraz długich dniach pracy typowych dla dużych europejskich gospodarstw. Wszystkie są wyposażone w silnik JD14 o pojemności 13,6 l, osiągający do 634 KM dzięki systemowi Peak Power Intelligent Power Management (PP IPM).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Czyni to model 8R/8RX 540 najmocniejszym ciągnikiem o standardowej konstrukcji na świecie.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i w:val="1"/>
          <w:i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Nowe modele poszerzają możliwości serii 8 i wspierają duże gospodarstwa dążące do ciągłej optymalizacji operacyjnej – osiągania wyższej wydajności przy mniejszej liczbie niezawodnych maszyn, przy jednoczesnym zachowaniu elastyczności standardowego ciągnika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powiedział Marcus Luchmann, Go-to-Market Manager ds. ciągników powyżej 150 KM w Europie i krajach CIS.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Odpowiadają również na potrzeby rozwijających się gospodarstw rodzinnych, które chcą obsługiwać większy areał tą samą liczbą pracowników.</w:t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Wyjątkowa trakcja i moc do wymagających prac uprawowych</w:t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Silnik JD14 w gamie modeli wysokiej mocy serii 8 zapewnia do 2 695 Nm maksymalnego momentu obrotowego oraz stały zakres mocy między 1 450 a 1 900 obr./min. PP IPM dostarcza dodatkowe 40 KM w głównym zakresie prędkości obrotowych silnika aż do 1 600 obr./min, co zapewnia dodatkową moc w wymagających zastosowaniach z dużym obciążeniem WOM oraz narzędziami napędzanymi elektrycznie lub hydraulicznie.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Modele 8R mogą być wyposażone w opony o wysokości do 2,30 m z tyłu i 1,85 m z przodu. Zarówno konfiguracje pojedyncze, jak i podwójne – w tym podwójne opony przednie o szerokości do 710 mm – mogą być wyposażone w centralny system pompowania opon John Deere (CTIS), automatycznie regulujący ciśnienie w oponach przy każdej prędkości i temperaturze. Prosta konstrukcja umożliwia integrację w piaście osi wzmocnionych elementów uszczelniających objętych planem ochronnym PowerGard™.</w:t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Nowe modele 8RX wykorzystują zmodernizowany czterogąsienicowy układ jezdny z przeprojektowanymi wózkami i gąsienicami Soucy CustomFit™ serii P. Konstrukcja o niskim napięciu zmniejsza zużycie i wydłuża żywotność. W zależności od konfiguracji układ gąsienic zapewnia powierzchnię styku do 4,87 m² i nacisk na glebę na poziomie zaledwie 0,4 kg/cm², co pomaga minimalizować ugniatanie gleby.</w:t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Bezstopniowa przekładnia eAutoPowr™ jest wyposażeniem standardowym wszystkich nowych modeli 8R/8RX. Układ elektromechaniczny eliminuje elementy hydrostatyczne na rzecz generatorów i silników elektrycznych, zwiększając efektywność przepływu energii  do 8%* w porównaniu z tradycyjnymi rozwiązaniami hydrostatycznymi.</w:t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Nowa przednia oś z niezależnym zawieszeniem Heavy-Duty (HD ILS) zapewnia efektywne przeniesienie mocy oraz promień skrętu około 7 m, co ułatwia pracę na uwrociach i zwiększa precyzję przejazdów. HD ILS oferuje automatyczną i manualną regulację zawieszenia w zależności od obciążenia, co poprawia komfort pracy.</w:t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Zbiorniki paliwa o pojemności 936 l w modelach 8R i do 1 123 l w modelach 8RX umożliwiają pracę do 14 godzin przy 85% obciążenia, eliminując konieczność tankowania podczas 12-godzinnych zmian.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Najwyższy standard kabiny i komfortu operatora</w:t>
      </w:r>
    </w:p>
    <w:p w:rsidR="00000000" w:rsidDel="00000000" w:rsidP="00000000" w:rsidRDefault="00000000" w:rsidRPr="00000000" w14:paraId="0000001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Kabina CommandView™ 4 została wyposażona w przeprojektowany CommandARM™ z wyświetlaczem Convenience Display, pozwalającym na zapamiętywanie ustawień fotela oraz personalizację kabiny, m.in. w zakresie radia, klimatyzacji i telefonu. Nowy CommandARM™ oferuje dwa nowe joysticki: CommandX Plus do podstawowych prac oraz CommandX Pro do zaawansowanego sterowania. Oba zapewniają szerokie możliwości konfiguracji, w tym sterowanie telefonem i multimediami, ulepszoną nawigację ekranu G5Plus oraz rozbudowane funkcje rolnictwa precyzyjnego.</w:t>
      </w:r>
    </w:p>
    <w:p w:rsidR="00000000" w:rsidDel="00000000" w:rsidP="00000000" w:rsidRDefault="00000000" w:rsidRPr="00000000" w14:paraId="0000001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Ulepszenia kabiny obejmują m.in. indukcyjne ładowanie telefonu, wycieraczkę przednią 330°, wycieraczkę prawej szyby, uruchamianie silnika przyciskiem z kodem PIN oraz system miękkiego domykania drzwi. Kabina CommandView™ 4 Plus w nowych modelach 8RX o wysokiej mocy zapewnia 15% więcej miejsca na nogi i 20% szersze panoramiczne pole widzenia w porównaniu ze standardową kabiną serii 8R.</w:t>
      </w:r>
    </w:p>
    <w:p w:rsidR="00000000" w:rsidDel="00000000" w:rsidP="00000000" w:rsidRDefault="00000000" w:rsidRPr="00000000" w14:paraId="0000001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Fotele Premium i Ultimate umożliwiają regulację z poziomu ekranu, elektryczne niezależne ustawianie CommandARM™ oraz regulację długości całej poduszki siedziska. Wersja Ultimate posiada dodatkowo górny nawiew w oparciu zapewniający lepszą cyrkulację powietrza i komfort.</w:t>
      </w:r>
    </w:p>
    <w:p w:rsidR="00000000" w:rsidDel="00000000" w:rsidP="00000000" w:rsidRDefault="00000000" w:rsidRPr="00000000" w14:paraId="0000002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Wszystkie nowe modele 8R i 8RX są wyposażone standardowo w odbiornik StarFire™ 7500, wyświetlacz G5Plus CommandCenter™ oraz łączność JDLink™. Funkcje autonomii nadzorowanej, takie jak AutoPath™, AutoTrac™ Turn Automation i Implement Guidance, poprawiają jakość pracy i redukują błędy. Field Data Sharing i automatyczna synchronizacja danych z bezpłatną platformą Operations Center™ umożliwiają koordynację prac bez wymiany plików.</w:t>
      </w:r>
    </w:p>
    <w:p w:rsidR="00000000" w:rsidDel="00000000" w:rsidP="00000000" w:rsidRDefault="00000000" w:rsidRPr="00000000" w14:paraId="0000002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Dzięki cyfrowym elementom sterującym bez wskazywania pozycji, ciągniki 8R/RX wysokiej mocy są z natury przygotowane do wyposażenia w przyszłe komponenty autonomiczne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wyjaśnia Marcus Luchmann.</w:t>
      </w:r>
    </w:p>
    <w:p w:rsidR="00000000" w:rsidDel="00000000" w:rsidP="00000000" w:rsidRDefault="00000000" w:rsidRPr="00000000" w14:paraId="0000002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Wyjątkowa wszechstronność w segmencie 600 KM</w:t>
      </w:r>
    </w:p>
    <w:p w:rsidR="00000000" w:rsidDel="00000000" w:rsidP="00000000" w:rsidRDefault="00000000" w:rsidRPr="00000000" w14:paraId="0000002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Modele serii 8 wysokiej mocy zapewniają siłę uciągu porównywalną z ciągnikami przegubowymi, zachowując wszechstronność modeli standardowych.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Do 418 l/min przepływu hydraulicznego umożliwia obsługę największych siewników. Opcjonalny zaczep kategorii 5 oraz podnośnik tylny o dwustronnym działaniu o udźwigu do 10,8 t na 610 mm umożliwiają współpracę z największymi maszynami. Dwie nowe opcje przedniego podnośnika zapewniają do 4,8 t udźwigu, a przedni WOM o mocy 130 kW umożliwia obsługę ciężkich maszyn napędzanych WOM.</w:t>
      </w:r>
    </w:p>
    <w:p w:rsidR="00000000" w:rsidDel="00000000" w:rsidP="00000000" w:rsidRDefault="00000000" w:rsidRPr="00000000" w14:paraId="0000002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Tylny WOM typu 4 z prędkościami 1000, 1000E i 1300 oraz do 548 KM mocy maksymalnej w pracy stacjonarnej zapewnia zapas mocy dla takich zadań jak rozdrabnianie drewna czy frezowanie dróg.</w:t>
      </w:r>
    </w:p>
    <w:p w:rsidR="00000000" w:rsidDel="00000000" w:rsidP="00000000" w:rsidRDefault="00000000" w:rsidRPr="00000000" w14:paraId="0000002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Opcjonalny hamulec silnikowy Jake Brake zapewnia do 300 kW mocy hamowania i automatycznie reaguje na różnicę między prędkością rzeczywistą a ustawioną.</w:t>
      </w:r>
    </w:p>
    <w:p w:rsidR="00000000" w:rsidDel="00000000" w:rsidP="00000000" w:rsidRDefault="00000000" w:rsidRPr="00000000" w14:paraId="0000002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Trzy tryby pracy pozwalają dostosować ciągnik do zadania:</w:t>
      </w:r>
    </w:p>
    <w:p w:rsidR="00000000" w:rsidDel="00000000" w:rsidP="00000000" w:rsidRDefault="00000000" w:rsidRPr="00000000" w14:paraId="0000003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ECO – priorytet efektywności paliwowej i komfortu, niższe obroty silnika</w:t>
      </w:r>
    </w:p>
    <w:p w:rsidR="00000000" w:rsidDel="00000000" w:rsidP="00000000" w:rsidRDefault="00000000" w:rsidRPr="00000000" w14:paraId="0000003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STANDARD – zrównoważona moc, efektywność i reakcja</w:t>
      </w:r>
    </w:p>
    <w:p w:rsidR="00000000" w:rsidDel="00000000" w:rsidP="00000000" w:rsidRDefault="00000000" w:rsidRPr="00000000" w14:paraId="0000003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MAX – pełna moc i najwyższa dynamika do ciężkich prac uprawowych</w:t>
      </w:r>
    </w:p>
    <w:p w:rsidR="00000000" w:rsidDel="00000000" w:rsidP="00000000" w:rsidRDefault="00000000" w:rsidRPr="00000000" w14:paraId="0000003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Wydajność w transporcie</w:t>
      </w:r>
    </w:p>
    <w:p w:rsidR="00000000" w:rsidDel="00000000" w:rsidP="00000000" w:rsidRDefault="00000000" w:rsidRPr="00000000" w14:paraId="0000003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Prędkość transportowa do 60 km/h przy 1 440 obr./min lub 50 km/h przy 1 200 obr./min jest dostępna dla wersji kołowej oraz jest zależnna od wymogów rynku. ILS Roll Control automatycznie dostosowuje sztywność zawieszenia przedniej osi podczas jazdy w zakrętach lub z większą prędkością. Reactive Command Steering zapewnia precyzyjne prowadzenie i samocentrujący się układ kierowniczy, a funkcja Variable Ratio Steering zapewnia zmienne przełożenie układu kierowniczego.</w:t>
      </w:r>
    </w:p>
    <w:p w:rsidR="00000000" w:rsidDel="00000000" w:rsidP="00000000" w:rsidRDefault="00000000" w:rsidRPr="00000000" w14:paraId="0000003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Koncepcja optymalizacji dużych gospodarstw</w:t>
      </w:r>
    </w:p>
    <w:p w:rsidR="00000000" w:rsidDel="00000000" w:rsidP="00000000" w:rsidRDefault="00000000" w:rsidRPr="00000000" w14:paraId="0000003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W 2026 r. John Deere wprowadzi kolejne innowacje oraz integruje funkcje modeli wysokiej mocy serii 8 z obecnymi seriami 8R/8RX/RT, realizując koncepcję optymalizacji dużych gospodarstw.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Łączy ona mocne maszyny, zaawansowaną automację i zarządzanie flotą w jednym systemie.</w:t>
      </w:r>
    </w:p>
    <w:p w:rsidR="00000000" w:rsidDel="00000000" w:rsidP="00000000" w:rsidRDefault="00000000" w:rsidRPr="00000000" w14:paraId="0000003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Kluczowe Specyfikacje </w:t>
      </w:r>
    </w:p>
    <w:p w:rsidR="00000000" w:rsidDel="00000000" w:rsidP="00000000" w:rsidRDefault="00000000" w:rsidRPr="00000000" w14:paraId="0000004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90"/>
        <w:gridCol w:w="1559"/>
        <w:gridCol w:w="1359"/>
        <w:gridCol w:w="1359"/>
        <w:tblGridChange w:id="0">
          <w:tblGrid>
            <w:gridCol w:w="4390"/>
            <w:gridCol w:w="1559"/>
            <w:gridCol w:w="1359"/>
            <w:gridCol w:w="135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8R/RX 440</w:t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0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0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Silnik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6">
            <w:pPr>
              <w:widowControl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JD14, 13.6 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Przekładnia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A">
            <w:pPr>
              <w:widowControl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eAutoPowr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superscript"/>
                <w:rtl w:val="0"/>
              </w:rPr>
              <w:t xml:space="preserve">TM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(40/50**/60** km/h)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Maks. moc silnika przy 1 700 obr./min (ECE-R120), KM (kW) </w:t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484 (356)</w:t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0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widowControl w:val="0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Maks. moc silnika z PP IPM przy 1 700 obr./min (ECE-R120), KM (kW) </w:t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524 (385)</w:t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0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0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Zakres stałej mocy, obr./min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6">
            <w:pPr>
              <w:widowControl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1,450–1,900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Maks. moment obrotowy przy 1 400 obr./min, Nm </w:t>
            </w:r>
          </w:p>
        </w:tc>
        <w:tc>
          <w:tcPr/>
          <w:p w:rsidR="00000000" w:rsidDel="00000000" w:rsidP="00000000" w:rsidRDefault="00000000" w:rsidRPr="00000000" w14:paraId="0000005A">
            <w:pPr>
              <w:widowControl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2,196</w:t>
            </w:r>
          </w:p>
        </w:tc>
        <w:tc>
          <w:tcPr/>
          <w:p w:rsidR="00000000" w:rsidDel="00000000" w:rsidP="00000000" w:rsidRDefault="00000000" w:rsidRPr="00000000" w14:paraId="0000005B">
            <w:pPr>
              <w:widowControl w:val="0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widowControl w:val="0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Średnia masa transportowa (seria R, kg) 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16,950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Dopuszczalna masa całkowita (seria R, kg) 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40 km/h: 24,000 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50 km/h z hamulcami przednimi 24,000 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60 km/h z hamulcami przednimi: 20,000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Maksymalny rozstaw osi (seria R, mm)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68">
            <w:pPr>
              <w:spacing w:after="16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3.350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Maksymalna długość całkowita (seria R, mm)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7.057</w:t>
            </w:r>
          </w:p>
        </w:tc>
      </w:tr>
    </w:tbl>
    <w:p w:rsidR="00000000" w:rsidDel="00000000" w:rsidP="00000000" w:rsidRDefault="00000000" w:rsidRPr="00000000" w14:paraId="0000006F">
      <w:pPr>
        <w:widowControl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* na podstawie porównania modeli 8R 370 eAutoPowr™ i 8R 370 AutoPowr™</w:t>
      </w:r>
    </w:p>
    <w:p w:rsidR="00000000" w:rsidDel="00000000" w:rsidP="00000000" w:rsidRDefault="00000000" w:rsidRPr="00000000" w14:paraId="0000007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** dostępna dla wersji kołowej</w:t>
      </w:r>
    </w:p>
    <w:p w:rsidR="00000000" w:rsidDel="00000000" w:rsidP="00000000" w:rsidRDefault="00000000" w:rsidRPr="00000000" w14:paraId="0000007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-14283</wp:posOffset>
                </wp:positionH>
                <wp:positionV relativeFrom="paragraph">
                  <wp:posOffset>-7299</wp:posOffset>
                </wp:positionV>
                <wp:extent cx="2771775" cy="30162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-14283</wp:posOffset>
                </wp:positionH>
                <wp:positionV relativeFrom="paragraph">
                  <wp:posOffset>-7299</wp:posOffset>
                </wp:positionV>
                <wp:extent cx="2771775" cy="301625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1775" cy="301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1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bCs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7F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80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8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83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85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8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8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8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-1157283</wp:posOffset>
              </wp:positionH>
              <wp:positionV relativeFrom="paragraph">
                <wp:posOffset>10215563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-1157283</wp:posOffset>
              </wp:positionH>
              <wp:positionV relativeFrom="paragraph">
                <wp:posOffset>10215563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9520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A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2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8B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19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8C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D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E">
          <w:pPr>
            <w:pStyle w:val="Heading1"/>
            <w:spacing w:before="60" w:lineRule="auto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8F">
          <w:pPr>
            <w:pStyle w:val="Heading1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90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91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93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IntenseEmphasis">
    <w:name w:val="Intense Emphasis"/>
    <w:basedOn w:val="DefaultParagraphFont"/>
    <w:uiPriority w:val="21"/>
    <w:qFormat w:val="1"/>
    <w:rPr>
      <w:i w:val="1"/>
      <w:iCs w:val="1"/>
      <w:color w:val="2f5496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Pr>
      <w:b w:val="1"/>
      <w:bCs w:val="1"/>
      <w:smallCaps w:val="1"/>
      <w:color w:val="2f5496" w:themeColor="accent1" w:themeShade="0000BF"/>
      <w:spacing w:val="5"/>
    </w:rPr>
  </w:style>
  <w:style w:type="character" w:styleId="SubtleEmphasis">
    <w:name w:val="Subtle Emphasis"/>
    <w:basedOn w:val="DefaultParagraphFont"/>
    <w:uiPriority w:val="19"/>
    <w:qFormat w:val="1"/>
    <w:rPr>
      <w:i w:val="1"/>
      <w:iCs w:val="1"/>
      <w:color w:val="404040" w:themeColor="text1" w:themeTint="0000BF"/>
    </w:rPr>
  </w:style>
  <w:style w:type="character" w:styleId="SubtleReference">
    <w:name w:val="Subtle Reference"/>
    <w:basedOn w:val="DefaultParagraphFont"/>
    <w:uiPriority w:val="31"/>
    <w:qFormat w:val="1"/>
    <w:rPr>
      <w:smallCaps w:val="1"/>
      <w:color w:val="5a5a5a" w:themeColor="text1" w:themeTint="0000A5"/>
    </w:rPr>
  </w:style>
  <w:style w:type="character" w:styleId="BookTitle">
    <w:name w:val="Book Title"/>
    <w:basedOn w:val="DefaultParagraphFont"/>
    <w:uiPriority w:val="33"/>
    <w:qFormat w:val="1"/>
    <w:rPr>
      <w:b w:val="1"/>
      <w:bCs w:val="1"/>
      <w:i w:val="1"/>
      <w:iCs w:val="1"/>
      <w:spacing w:val="5"/>
    </w:r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ytuZnak" w:customStyle="1">
    <w:name w:val="Tytuł Znak"/>
    <w:basedOn w:val="DefaultParagraphFont"/>
    <w:uiPriority w:val="10"/>
    <w:rPr>
      <w:sz w:val="48"/>
      <w:szCs w:val="48"/>
    </w:rPr>
  </w:style>
  <w:style w:type="character" w:styleId="PodtytuZnak" w:customStyle="1">
    <w:name w:val="Podtytuł Znak"/>
    <w:basedOn w:val="DefaultParagraphFont"/>
    <w:uiPriority w:val="11"/>
    <w:rPr>
      <w:sz w:val="24"/>
      <w:szCs w:val="24"/>
    </w:rPr>
  </w:style>
  <w:style w:type="paragraph" w:styleId="Quote">
    <w:name w:val="Quote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uiPriority w:val="39"/>
    <w:unhideWhenUsed w:val="1"/>
    <w:pPr>
      <w:spacing w:after="57"/>
    </w:pPr>
  </w:style>
  <w:style w:type="paragraph" w:styleId="TOC2">
    <w:name w:val="toc 2"/>
    <w:uiPriority w:val="39"/>
    <w:unhideWhenUsed w:val="1"/>
    <w:pPr>
      <w:spacing w:after="57"/>
      <w:ind w:left="283"/>
    </w:pPr>
  </w:style>
  <w:style w:type="paragraph" w:styleId="TOC3">
    <w:name w:val="toc 3"/>
    <w:uiPriority w:val="39"/>
    <w:unhideWhenUsed w:val="1"/>
    <w:pPr>
      <w:spacing w:after="57"/>
      <w:ind w:left="567"/>
    </w:pPr>
  </w:style>
  <w:style w:type="paragraph" w:styleId="TOC4">
    <w:name w:val="toc 4"/>
    <w:uiPriority w:val="39"/>
    <w:unhideWhenUsed w:val="1"/>
    <w:pPr>
      <w:spacing w:after="57"/>
      <w:ind w:left="850"/>
    </w:pPr>
  </w:style>
  <w:style w:type="paragraph" w:styleId="TOC5">
    <w:name w:val="toc 5"/>
    <w:uiPriority w:val="39"/>
    <w:unhideWhenUsed w:val="1"/>
    <w:pPr>
      <w:spacing w:after="57"/>
      <w:ind w:left="1134"/>
    </w:pPr>
  </w:style>
  <w:style w:type="paragraph" w:styleId="TOC6">
    <w:name w:val="toc 6"/>
    <w:uiPriority w:val="39"/>
    <w:unhideWhenUsed w:val="1"/>
    <w:pPr>
      <w:spacing w:after="57"/>
      <w:ind w:left="1417"/>
    </w:pPr>
  </w:style>
  <w:style w:type="paragraph" w:styleId="TOC7">
    <w:name w:val="toc 7"/>
    <w:uiPriority w:val="39"/>
    <w:unhideWhenUsed w:val="1"/>
    <w:pPr>
      <w:spacing w:after="57"/>
      <w:ind w:left="1701"/>
    </w:pPr>
  </w:style>
  <w:style w:type="paragraph" w:styleId="TOC8">
    <w:name w:val="toc 8"/>
    <w:uiPriority w:val="39"/>
    <w:unhideWhenUsed w:val="1"/>
    <w:pPr>
      <w:spacing w:after="57"/>
      <w:ind w:left="1984"/>
    </w:pPr>
  </w:style>
  <w:style w:type="paragraph" w:styleId="TOC9">
    <w:name w:val="toc 9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uiPriority w:val="99"/>
    <w:unhideWhenUsed w:val="1"/>
  </w:style>
  <w:style w:type="character" w:styleId="Nagwek1Znak" w:customStyle="1">
    <w:name w:val="Nagłówek 1 Znak"/>
    <w:basedOn w:val="DefaultParagraphFont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efaultParagraphFont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efaultParagraphFont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efaultParagraphFont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NjgLNPQpCUtiRM/zstpwcsE1Xg==">CgMxLjA4AHIhMWh3OTJaa2RQNUFvLUdrMGx6VDJ3S2d3aVE3T2k1bnFW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2026-02-23T09:58:00Z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