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2">
      <w:pPr>
        <w:spacing w:line="276" w:lineRule="auto"/>
        <w:jc w:val="both"/>
        <w:rPr>
          <w:rFonts w:ascii="Verdana" w:cs="Verdana" w:eastAsia="Verdana" w:hAnsi="Verdana"/>
          <w:b w:val="1"/>
          <w:bCs w:val="1"/>
          <w:color w:val="008000"/>
          <w:sz w:val="24"/>
          <w:szCs w:val="24"/>
        </w:rPr>
      </w:pPr>
      <w:r w:rsidDel="00000000" w:rsidR="00000000" w:rsidRPr="00000000">
        <w:rPr>
          <w:rFonts w:ascii="Verdana" w:cs="Verdana" w:eastAsia="Verdana" w:hAnsi="Verdana"/>
          <w:b w:val="1"/>
          <w:bCs w:val="1"/>
          <w:color w:val="008000"/>
          <w:sz w:val="24"/>
          <w:szCs w:val="24"/>
          <w:rtl w:val="0"/>
        </w:rPr>
        <w:t xml:space="preserve">Moc bez kompromisów: John Deere prezentuje technologie niskoemisyjne i bezemisyjne dla rolnictwa </w:t>
      </w:r>
    </w:p>
    <w:p w:rsidR="00000000" w:rsidDel="00000000" w:rsidP="00000000" w:rsidRDefault="00000000" w:rsidRPr="00000000" w14:paraId="00000003">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4">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Europejskie rolnictwo stoi dziś w obliczu złożonych wyzwań: zmieniającego się klimatu, rosnących kosztów energii i paliw, presji na ograniczenie emisji gazów cieplarnianych, coraz bardziej rygorystycznych norm dotyczących zrównoważonego gospodarowania glebą i wodą oraz oczekiwań konsumentów odnośnie do żywności wyprodukowanej w sposób odpowiedzialny środowiskowo. W odpowiedzi na te wyzwania John Deere, od lat, rozwija kompleksową strategię alternatywnych napędów – od biopaliw i oleju napędowego z odnawialnych źródeł, po elektryfikację maszyn – oferując rolnikom w całej Europie technologie, które stanowią realny pomost pomiędzy wydajnością maszyn a zrównoważonym rozwojem.</w:t>
      </w:r>
      <w:r w:rsidDel="00000000" w:rsidR="00000000" w:rsidRPr="00000000">
        <w:rPr>
          <w:rtl w:val="0"/>
        </w:rPr>
      </w:r>
    </w:p>
    <w:p w:rsidR="00000000" w:rsidDel="00000000" w:rsidP="00000000" w:rsidRDefault="00000000" w:rsidRPr="00000000" w14:paraId="0000000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6">
      <w:pPr>
        <w:spacing w:line="276" w:lineRule="auto"/>
        <w:jc w:val="both"/>
        <w:rPr>
          <w:rFonts w:ascii="Verdana" w:cs="Verdana" w:eastAsia="Verdana" w:hAnsi="Verdana"/>
          <w:b w:val="1"/>
          <w:bCs w:val="1"/>
          <w:sz w:val="22"/>
          <w:szCs w:val="22"/>
          <w:highlight w:val="white"/>
        </w:rPr>
      </w:pPr>
      <w:r w:rsidDel="00000000" w:rsidR="00000000" w:rsidRPr="00000000">
        <w:rPr>
          <w:rtl w:val="0"/>
        </w:rPr>
      </w:r>
    </w:p>
    <w:p w:rsidR="00000000" w:rsidDel="00000000" w:rsidP="00000000" w:rsidRDefault="00000000" w:rsidRPr="00000000" w14:paraId="00000007">
      <w:pPr>
        <w:spacing w:line="276" w:lineRule="auto"/>
        <w:jc w:val="both"/>
        <w:rPr>
          <w:rFonts w:ascii="Verdana" w:cs="Verdana" w:eastAsia="Verdana" w:hAnsi="Verdana"/>
          <w:b w:val="1"/>
          <w:bCs w:val="1"/>
          <w:sz w:val="22"/>
          <w:szCs w:val="22"/>
          <w:highlight w:val="white"/>
        </w:rPr>
      </w:pPr>
      <w:r w:rsidDel="00000000" w:rsidR="00000000" w:rsidRPr="00000000">
        <w:rPr>
          <w:rFonts w:ascii="Verdana" w:cs="Verdana" w:eastAsia="Verdana" w:hAnsi="Verdana"/>
          <w:b w:val="1"/>
          <w:bCs w:val="1"/>
          <w:sz w:val="22"/>
          <w:szCs w:val="22"/>
          <w:highlight w:val="white"/>
          <w:rtl w:val="0"/>
        </w:rPr>
        <w:t xml:space="preserve">Strategia wielotorowa – wybór technologii dopasowanej do gospodarstwa</w:t>
      </w:r>
    </w:p>
    <w:p w:rsidR="00000000" w:rsidDel="00000000" w:rsidP="00000000" w:rsidRDefault="00000000" w:rsidRPr="00000000" w14:paraId="0000000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John Deere realizuje wielotorową strategię, która obejmuje dalszy rozwój silników spalinowych, integrację paliw odnawialnych oraz opracowywanie elektrycznych układów napędowych. Takie zróżnicowane podejście gwarantuje klientom możliwość wyboru rozwiązania najlepiej dostosowanego do ich potrzeb operacyjnych, a jednocześnie zgodnego z ewoluującymi normami środowiskowymi i polityką energetyczną.</w:t>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C">
      <w:pPr>
        <w:spacing w:line="276" w:lineRule="auto"/>
        <w:jc w:val="both"/>
        <w:rPr>
          <w:rFonts w:ascii="Verdana" w:cs="Verdana" w:eastAsia="Verdana" w:hAnsi="Verdana"/>
          <w:b w:val="1"/>
          <w:bCs w:val="1"/>
          <w:sz w:val="22"/>
          <w:szCs w:val="22"/>
          <w:highlight w:val="white"/>
        </w:rPr>
      </w:pPr>
      <w:r w:rsidDel="00000000" w:rsidR="00000000" w:rsidRPr="00000000">
        <w:rPr>
          <w:rFonts w:ascii="Verdana" w:cs="Verdana" w:eastAsia="Verdana" w:hAnsi="Verdana"/>
          <w:b w:val="1"/>
          <w:bCs w:val="1"/>
          <w:sz w:val="22"/>
          <w:szCs w:val="22"/>
          <w:highlight w:val="white"/>
          <w:rtl w:val="0"/>
        </w:rPr>
        <w:t xml:space="preserve">Biodiesel i HVO – realne oszczędności i niska emisja</w:t>
      </w:r>
    </w:p>
    <w:p w:rsidR="00000000" w:rsidDel="00000000" w:rsidP="00000000" w:rsidRDefault="00000000" w:rsidRPr="00000000" w14:paraId="0000000D">
      <w:pPr>
        <w:spacing w:line="276" w:lineRule="auto"/>
        <w:jc w:val="both"/>
        <w:rPr>
          <w:rFonts w:ascii="Verdana" w:cs="Verdana" w:eastAsia="Verdana" w:hAnsi="Verdana"/>
          <w:b w:val="1"/>
          <w:bCs w:val="1"/>
          <w:sz w:val="22"/>
          <w:szCs w:val="22"/>
          <w:highlight w:val="white"/>
        </w:rPr>
      </w:pPr>
      <w:r w:rsidDel="00000000" w:rsidR="00000000" w:rsidRPr="00000000">
        <w:rPr>
          <w:rtl w:val="0"/>
        </w:rPr>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Zastosowanie biopaliw, takich jak etanol, biodiesel i odnawialny olej napędowy, pozwala znacznie zmniejszyć emisję CO₂ w całym cyklu życia paliwa. </w:t>
      </w:r>
      <w:r w:rsidDel="00000000" w:rsidR="00000000" w:rsidRPr="00000000">
        <w:rPr>
          <w:rFonts w:ascii="Verdana" w:cs="Verdana" w:eastAsia="Verdana" w:hAnsi="Verdana"/>
          <w:b w:val="1"/>
          <w:bCs w:val="1"/>
          <w:rtl w:val="0"/>
        </w:rPr>
        <w:t xml:space="preserve">Firma John Deere aktywnie prowadzi badania i wdraża zaawansowane technologie spalania, aby zapewnić kompatybilność i wydajność tych paliw</w:t>
      </w:r>
      <w:r w:rsidDel="00000000" w:rsidR="00000000" w:rsidRPr="00000000">
        <w:rPr>
          <w:rFonts w:ascii="Verdana" w:cs="Verdana" w:eastAsia="Verdana" w:hAnsi="Verdana"/>
          <w:rtl w:val="0"/>
        </w:rPr>
        <w:t xml:space="preserve">. Biodiesel pozostaje kluczowym elementem tej strategii. Silniki John Deere Stage V, zgodne z przepisami UE, obsługują mieszanki biodiesla do 8% (B8). Silniki Final Tier 4/Stage IV i Interim Tier 4/Stage III B są zatwierdzone do stosowania mieszanek o zawartości do 30% (B30), natomiast silniki Tier 3/Stage III A i niższych klas mogą pracować na 100% biodieslu (B100). Cały stosowany biodiesel musi być zgodny z normami ASTM D6751 lub EN 14214, aby zapewnić jakość paliwa i niezawodność silnika.</w:t>
      </w:r>
    </w:p>
    <w:p w:rsidR="00000000" w:rsidDel="00000000" w:rsidP="00000000" w:rsidRDefault="00000000" w:rsidRPr="00000000" w14:paraId="0000000F">
      <w:pPr>
        <w:spacing w:line="276" w:lineRule="auto"/>
        <w:jc w:val="both"/>
        <w:rPr>
          <w:rFonts w:ascii="Verdana" w:cs="Verdana" w:eastAsia="Verdana" w:hAnsi="Verdana"/>
          <w:b w:val="1"/>
          <w:bCs w:val="1"/>
          <w:highlight w:val="yellow"/>
        </w:rPr>
      </w:pPr>
      <w:r w:rsidDel="00000000" w:rsidR="00000000" w:rsidRPr="00000000">
        <w:rPr>
          <w:rtl w:val="0"/>
        </w:rPr>
      </w:r>
    </w:p>
    <w:p w:rsidR="00000000" w:rsidDel="00000000" w:rsidP="00000000" w:rsidRDefault="00000000" w:rsidRPr="00000000" w14:paraId="00000010">
      <w:pPr>
        <w:spacing w:line="276"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Kolejną realną opcją jest olej napędowy odnawialny, w tym olej roślinny poddany obróbce wodorem (HVO). Jako parafinowe paliwo dieslowe może być stosowane zarówno w postaci mieszanki, jak i w pełnym stężeniu (RD100) bez konieczności modyfikacji silnika. Silniki John Deere są kompatybilne z odnawialnymi paliwami dieslowymi spełniającymi wymagania norm ASTM D975, EN 590 lub EN 15940. </w:t>
      </w:r>
      <w:r w:rsidDel="00000000" w:rsidR="00000000" w:rsidRPr="00000000">
        <w:rPr>
          <w:rFonts w:ascii="Verdana" w:cs="Verdana" w:eastAsia="Verdana" w:hAnsi="Verdana"/>
          <w:b w:val="1"/>
          <w:bCs w:val="1"/>
          <w:rtl w:val="0"/>
        </w:rPr>
        <w:t xml:space="preserve">Ten rodzaj paliwa charakteryzuje się wysoką zawartością energii i niską intensywnością emisji dwutlenku węgla, co czyni go szczególnie odpowiednim dla rynków europejskich skupionych na dekarbonizacji.</w:t>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b w:val="1"/>
          <w:bCs w:val="1"/>
          <w:sz w:val="22"/>
          <w:szCs w:val="22"/>
          <w:highlight w:val="white"/>
        </w:rPr>
      </w:pPr>
      <w:r w:rsidDel="00000000" w:rsidR="00000000" w:rsidRPr="00000000">
        <w:rPr>
          <w:rFonts w:ascii="Verdana" w:cs="Verdana" w:eastAsia="Verdana" w:hAnsi="Verdana"/>
          <w:b w:val="1"/>
          <w:bCs w:val="1"/>
          <w:sz w:val="22"/>
          <w:szCs w:val="22"/>
          <w:highlight w:val="white"/>
          <w:rtl w:val="0"/>
        </w:rPr>
        <w:t xml:space="preserve">Akumulatory przyszłości – moc bez konsekwencji dla środowiska</w:t>
      </w:r>
    </w:p>
    <w:p w:rsidR="00000000" w:rsidDel="00000000" w:rsidP="00000000" w:rsidRDefault="00000000" w:rsidRPr="00000000" w14:paraId="00000014">
      <w:pPr>
        <w:spacing w:line="276" w:lineRule="auto"/>
        <w:jc w:val="both"/>
        <w:rPr>
          <w:rFonts w:ascii="Verdana" w:cs="Verdana" w:eastAsia="Verdana" w:hAnsi="Verdana"/>
          <w:b w:val="1"/>
          <w:bCs w:val="1"/>
          <w:sz w:val="22"/>
          <w:szCs w:val="22"/>
          <w:highlight w:val="white"/>
        </w:rPr>
      </w:pPr>
      <w:r w:rsidDel="00000000" w:rsidR="00000000" w:rsidRPr="00000000">
        <w:rPr>
          <w:rtl w:val="0"/>
        </w:rPr>
      </w:r>
    </w:p>
    <w:p w:rsidR="00000000" w:rsidDel="00000000" w:rsidP="00000000" w:rsidRDefault="00000000" w:rsidRPr="00000000" w14:paraId="00000015">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Elektryfikacja to kolejny filar oferty alternatywnych napędów firmy John Deere. Wymagania dotyczące akumulatorów różnią się znacznie w zależności od zastosowania, dlatego firma John Deere wykorzystuje doświadczenie firmy KREISEL Electric do opracowywania modułowych, wysokowydajnych systemów akumulatorowych. </w:t>
      </w:r>
      <w:r w:rsidDel="00000000" w:rsidR="00000000" w:rsidRPr="00000000">
        <w:rPr>
          <w:rFonts w:ascii="Verdana" w:cs="Verdana" w:eastAsia="Verdana" w:hAnsi="Verdana"/>
          <w:b w:val="1"/>
          <w:bCs w:val="1"/>
          <w:rtl w:val="0"/>
        </w:rPr>
        <w:t xml:space="preserve">Systemy te zostały zaprojektowane z myślą o wysokiej gęstości energii, wydłużonym czasie pracy i płynnej integracji z maszynami rolniczymi. </w:t>
      </w:r>
      <w:r w:rsidDel="00000000" w:rsidR="00000000" w:rsidRPr="00000000">
        <w:rPr>
          <w:rFonts w:ascii="Verdana" w:cs="Verdana" w:eastAsia="Verdana" w:hAnsi="Verdana"/>
          <w:rtl w:val="0"/>
        </w:rPr>
        <w:t xml:space="preserve">Unikalna a</w:t>
      </w:r>
      <w:r w:rsidDel="00000000" w:rsidR="00000000" w:rsidRPr="00000000">
        <w:rPr>
          <w:rFonts w:ascii="Verdana" w:cs="Verdana" w:eastAsia="Verdana" w:hAnsi="Verdana"/>
          <w:rtl w:val="0"/>
        </w:rPr>
        <w:t xml:space="preserve">rchitektura akumulatorów KREISEL</w:t>
      </w:r>
      <w:r w:rsidDel="00000000" w:rsidR="00000000" w:rsidRPr="00000000">
        <w:rPr>
          <w:rFonts w:ascii="Verdana" w:cs="Verdana" w:eastAsia="Verdana" w:hAnsi="Verdana"/>
          <w:rtl w:val="0"/>
        </w:rPr>
        <w:t xml:space="preserve"> umożliwia skalowalne rozwiązania dla różnych platform maszyn. Wszystkie akumulatory KREISEL są wyposażone w system Dynamic Performance Management, który wykorzystuje opatentowaną technologię chłodzenia zanurzeniowego ogniw oraz zaawansowane systemy oprogramowania. Technologia ta została zaprojektowana w celu optymalizacji codziennej wydajności, trwałości i wydajności w ekstremalnych temperaturach, przy jednoczesnym spełnieniu norm bezpieczeństwa, lub o standardach wyższych, obowiązujących w branży.</w:t>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Kluczową innowacją zaprezentowaną między innymi na wystawie Agritechnica 2025 był natomiast prototyp ciągnika E-Power. Ciągnik ten został zaprojektowany do specjalistycznych zastosowań, takich jak sady, winnice, usługi komunalne i hodowla zwierząt. Ta w pełni elektryczna maszyna charakteryzuje się całkowicie nową, jednolitą konstrukcją podstawy z konfigurowalnymi opcjami pojemności akumulatora, typu kabiny, konfiguracji osi i opon. </w:t>
      </w:r>
      <w:r w:rsidDel="00000000" w:rsidR="00000000" w:rsidRPr="00000000">
        <w:rPr>
          <w:rFonts w:ascii="Verdana" w:cs="Verdana" w:eastAsia="Verdana" w:hAnsi="Verdana"/>
          <w:b w:val="1"/>
          <w:bCs w:val="1"/>
          <w:rtl w:val="0"/>
        </w:rPr>
        <w:t xml:space="preserve">Prototyp ciągnika E-Power zapewnia ciągłą moc 130 koni mechanicznych i jest w stanie wykonywać te same zadania, co konwencjonalny ciągnik użytkowy z silnikiem wysokoprężnym. Działa bez emisji spalin i obsługuje do pięciu akumulatorów KREISEL, co pozwala użytkownikom dostosować czas pracy i moc wyjściową do swoich konkretnych wymagań.</w:t>
      </w:r>
      <w:r w:rsidDel="00000000" w:rsidR="00000000" w:rsidRPr="00000000">
        <w:rPr>
          <w:rFonts w:ascii="Verdana" w:cs="Verdana" w:eastAsia="Verdana" w:hAnsi="Verdana"/>
          <w:rtl w:val="0"/>
        </w:rPr>
        <w:t xml:space="preserve"> Ciągnik jest kompatybilny z istniejącymi narzędziami i oferuje korzyści operacyjne, w tym natychmiastowy moment obrotowy, zmniejszony hałas, mniejsze wymagania konserwacyjne i uproszczoną obsługę. Integracja z centrum operacyjnym John Deere Operations Center umożliwia zdalną diagnostykę, monitorowanie czasu pracy, zarządzanie ładowaniem i analizę danych.</w:t>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9">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Alternatywna strategia napędowa firmy John Deere została opracowana w celu wsparcia przejścia na rolnictwo niskoemisyjne, przy jednoczesnym zachowaniu wydajności i niezawodności porównywalnej z silnikami wysokoprężnymi. Oferując szereg sprawdzonych technicznie rozwiązań, firma wspiera europejskich rolników i wykonawców w spełnianiu wymagań operacyjnych i regulacyjnych w szybko zmieniającym się środowisku energetycznym.</w:t>
      </w:r>
    </w:p>
    <w:p w:rsidR="00000000" w:rsidDel="00000000" w:rsidP="00000000" w:rsidRDefault="00000000" w:rsidRPr="00000000" w14:paraId="0000001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ind w:left="720" w:firstLine="0"/>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-14282</wp:posOffset>
                </wp:positionH>
                <wp:positionV relativeFrom="paragraph">
                  <wp:posOffset>-14283</wp:posOffset>
                </wp:positionV>
                <wp:extent cx="2800350" cy="330200"/>
                <wp:effectExtent b="0" l="0" r="0" t="0"/>
                <wp:wrapNone/>
                <wp:docPr id="3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-14282</wp:posOffset>
                </wp:positionH>
                <wp:positionV relativeFrom="paragraph">
                  <wp:posOffset>-14283</wp:posOffset>
                </wp:positionV>
                <wp:extent cx="2800350" cy="330200"/>
                <wp:effectExtent b="0" l="0" r="0" t="0"/>
                <wp:wrapNone/>
                <wp:docPr id="3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800350" cy="330200"/>
                        </a:xfrm>
                        <a:prstGeom prst="rect"/>
                        <a:ln/>
                      </pic:spPr>
                    </pic:pic>
                  </a:graphicData>
                </a:graphic>
              </wp:anchor>
            </w:drawing>
          </mc:Fallback>
        </mc:AlternateConten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3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28583</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35"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bCs w:val="1"/>
          <w:color w:val="008000"/>
        </w:rPr>
      </w:pPr>
      <w:r w:rsidDel="00000000" w:rsidR="00000000" w:rsidRPr="00000000">
        <w:rPr>
          <w:rFonts w:ascii="Verdana" w:cs="Verdana" w:eastAsia="Verdana" w:hAnsi="Verdana"/>
          <w:b w:val="1"/>
          <w:bCs w:val="1"/>
          <w:color w:val="008000"/>
          <w:rtl w:val="0"/>
        </w:rPr>
        <w:t xml:space="preserve">************************************************************</w:t>
      </w:r>
    </w:p>
    <w:p w:rsidR="00000000" w:rsidDel="00000000" w:rsidP="00000000" w:rsidRDefault="00000000" w:rsidRPr="00000000" w14:paraId="00000026">
      <w:pPr>
        <w:spacing w:line="276" w:lineRule="auto"/>
        <w:ind w:left="5040" w:firstLine="720"/>
        <w:jc w:val="right"/>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Więcej informacji:</w:t>
      </w:r>
    </w:p>
    <w:p w:rsidR="00000000" w:rsidDel="00000000" w:rsidP="00000000" w:rsidRDefault="00000000" w:rsidRPr="00000000" w14:paraId="00000027">
      <w:pPr>
        <w:spacing w:line="276" w:lineRule="auto"/>
        <w:jc w:val="right"/>
        <w:rPr>
          <w:rFonts w:ascii="Verdana" w:cs="Verdana" w:eastAsia="Verdana" w:hAnsi="Verdana"/>
          <w:b w:val="1"/>
          <w:bCs w:val="1"/>
          <w:sz w:val="18"/>
          <w:szCs w:val="18"/>
        </w:rPr>
      </w:pPr>
      <w:r w:rsidDel="00000000" w:rsidR="00000000" w:rsidRPr="00000000">
        <w:rPr>
          <w:rtl w:val="0"/>
        </w:rPr>
      </w:r>
    </w:p>
    <w:p w:rsidR="00000000" w:rsidDel="00000000" w:rsidP="00000000" w:rsidRDefault="00000000" w:rsidRPr="00000000" w14:paraId="00000028">
      <w:pPr>
        <w:spacing w:line="276" w:lineRule="auto"/>
        <w:ind w:left="5760" w:firstLine="0"/>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Bartosz Białas</w:t>
      </w:r>
    </w:p>
    <w:p w:rsidR="00000000" w:rsidDel="00000000" w:rsidP="00000000" w:rsidRDefault="00000000" w:rsidRPr="00000000" w14:paraId="00000029">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A">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B">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C">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D">
      <w:pPr>
        <w:spacing w:line="276" w:lineRule="auto"/>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Justyna Tomczak</w:t>
      </w:r>
    </w:p>
    <w:p w:rsidR="00000000" w:rsidDel="00000000" w:rsidP="00000000" w:rsidRDefault="00000000" w:rsidRPr="00000000" w14:paraId="0000002E">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2F">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0">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-1157281</wp:posOffset>
              </wp:positionH>
              <wp:positionV relativeFrom="paragraph">
                <wp:posOffset>10171113</wp:posOffset>
              </wp:positionV>
              <wp:extent cx="7618095" cy="330200"/>
              <wp:effectExtent b="0" l="0" r="0" t="0"/>
              <wp:wrapNone/>
              <wp:docPr id="3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-1157281</wp:posOffset>
              </wp:positionH>
              <wp:positionV relativeFrom="paragraph">
                <wp:posOffset>10171113</wp:posOffset>
              </wp:positionV>
              <wp:extent cx="7618095" cy="330200"/>
              <wp:effectExtent b="0" l="0" r="0" t="0"/>
              <wp:wrapNone/>
              <wp:docPr id="3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618095" cy="330200"/>
                      </a:xfrm>
                      <a:prstGeom prst="rect"/>
                      <a:ln/>
                    </pic:spPr>
                  </pic:pic>
                </a:graphicData>
              </a:graphic>
            </wp:anchor>
          </w:drawing>
        </mc:Fallback>
      </mc:AlternateContent>
    </w:r>
  </w:p>
  <w:p w:rsidR="00000000" w:rsidDel="00000000" w:rsidP="00000000" w:rsidRDefault="00000000" w:rsidRPr="00000000" w14:paraId="0000003D">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2">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-63492</wp:posOffset>
                </wp:positionH>
                <wp:positionV relativeFrom="paragraph">
                  <wp:posOffset>17780</wp:posOffset>
                </wp:positionV>
                <wp:extent cx="2286000" cy="463550"/>
                <wp:effectExtent b="0" l="0" r="0" t="0"/>
                <wp:wrapNone/>
                <wp:docPr descr="green horiz for letterhead" id="34" name="image3.png"/>
                <a:graphic>
                  <a:graphicData uri="http://schemas.openxmlformats.org/drawingml/2006/picture">
                    <pic:pic>
                      <pic:nvPicPr>
                        <pic:cNvPr descr="green horiz for letterhead" id="0" name="image3.pn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5">
          <w:pPr>
            <w:keepNext w:val="1"/>
            <w:keepLines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36">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37">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38">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3A">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bCs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bCs w:val="1"/>
      <w:sz w:val="22"/>
      <w:szCs w:val="22"/>
    </w:rPr>
  </w:style>
  <w:style w:type="paragraph" w:styleId="Title">
    <w:name w:val="Title"/>
    <w:basedOn w:val="Normal"/>
    <w:next w:val="Normal"/>
    <w:pPr>
      <w:spacing w:after="200" w:before="300" w:lineRule="auto"/>
    </w:pPr>
    <w:rPr>
      <w:sz w:val="48"/>
      <w:szCs w:val="4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a" w:customStyle="1">
    <w:basedOn w:val="TableNormal0"/>
    <w:rPr>
      <w:color w:val="404040"/>
    </w:rPr>
    <w:tblPr>
      <w:tblStyleRowBandSize w:val="1"/>
      <w:tblStyleColBandSize w:val="1"/>
      <w:tblCellMar>
        <w:top w:w="0.0" w:type="dxa"/>
        <w:left w:w="198.0" w:type="dxa"/>
        <w:bottom w:w="0.0" w:type="dxa"/>
        <w:right w:w="198.0" w:type="dxa"/>
      </w:tblCellMar>
    </w:tblPr>
    <w:tcPr>
      <w:shd w:color="auto" w:fill="a9d08e" w:val="clear"/>
    </w:tcPr>
  </w:style>
  <w:style w:type="table" w:styleId="a0" w:customStyle="1">
    <w:basedOn w:val="TableNormal0"/>
    <w:rPr>
      <w:color w:val="404040"/>
    </w:rPr>
    <w:tblPr>
      <w:tblStyleRowBandSize w:val="1"/>
      <w:tblStyleColBandSize w:val="1"/>
      <w:tblCellMar>
        <w:top w:w="0.0" w:type="dxa"/>
        <w:left w:w="115.0" w:type="dxa"/>
        <w:bottom w:w="0.0" w:type="dxa"/>
        <w:right w:w="115.0" w:type="dxa"/>
      </w:tblCellMar>
    </w:tblPr>
    <w:tcPr>
      <w:shd w:color="auto" w:fill="a9d08e" w:val="clear"/>
    </w:tcPr>
  </w:style>
  <w:style w:type="paragraph" w:styleId="Tekstkomentarza">
    <w:name w:val="annotation text"/>
    <w:basedOn w:val="Normalny"/>
    <w:link w:val="TekstkomentarzaZnak"/>
    <w:uiPriority w:val="99"/>
    <w:unhideWhenUsed w:val="1"/>
  </w:style>
  <w:style w:type="character" w:styleId="TekstkomentarzaZnak" w:customStyle="1">
    <w:name w:val="Tekst komentarza Znak"/>
    <w:basedOn w:val="Domylnaczcionkaakapitu"/>
    <w:link w:val="Tekstkomentarza"/>
    <w:uiPriority w:val="99"/>
  </w:style>
  <w:style w:type="character" w:styleId="Odwoaniedokomentarza">
    <w:name w:val="annotation reference"/>
    <w:basedOn w:val="Domylnaczcionkaakapitu"/>
    <w:uiPriority w:val="99"/>
    <w:semiHidden w:val="1"/>
    <w:unhideWhenUsed w:val="1"/>
    <w:rPr>
      <w:sz w:val="16"/>
      <w:szCs w:val="16"/>
    </w:rPr>
  </w:style>
  <w:style w:type="paragraph" w:styleId="Tematkomentarza">
    <w:name w:val="annotation subject"/>
    <w:basedOn w:val="Tekstkomentarza"/>
    <w:next w:val="Tekstkomentarza"/>
    <w:link w:val="TematkomentarzaZnak"/>
    <w:uiPriority w:val="99"/>
    <w:semiHidden w:val="1"/>
    <w:unhideWhenUsed w:val="1"/>
    <w:rsid w:val="00181151"/>
    <w:rPr>
      <w:b w:val="1"/>
      <w:bCs w:val="1"/>
    </w:rPr>
  </w:style>
  <w:style w:type="character" w:styleId="TematkomentarzaZnak" w:customStyle="1">
    <w:name w:val="Temat komentarza Znak"/>
    <w:basedOn w:val="TekstkomentarzaZnak"/>
    <w:link w:val="Tematkomentarza"/>
    <w:uiPriority w:val="99"/>
    <w:semiHidden w:val="1"/>
    <w:rsid w:val="00181151"/>
    <w:rPr>
      <w:b w:val="1"/>
      <w:bCs w:val="1"/>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C+p9XSid45ptyygF3qeN7qWIxA==">CgMxLjA4AHIhMUNPaHRLNlozejYyUzQxcnEzM1RsckU3V3ZZLVhmNVMx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2024-02-18T12:19:00Z</dcterms:created>
  <dc:creator>Piotr Ziemecki</dc:creator>
</cp:coreProperties>
</file>