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xml" PartName="/customXML/item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before="480" w:line="276" w:lineRule="auto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Produkcja mleka na Podlasiu: kiszonka z kukurydzy i flota John Deere w gospodarstwie Zakrzewskich</w:t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Na Podlasiu, w powiecie białostockim, Hubert Zakrzewski wraz z rodziną prowadzi jedno z nowocześniejszych gospodarstw mlecznych w regionie. Na 450 hektarach uprawiają kukurydzę (220 ha), trawy i lucernę (200 ha) oraz zboża. To właśnie kiszonka z kukurydzy stanowi podstawę żywienia TMR dla stada liczącego dziś tysiąc sztuk bydła, w tym 500 krów dojnych.</w:t>
      </w:r>
    </w:p>
    <w:p w:rsidR="00000000" w:rsidDel="00000000" w:rsidP="00000000" w:rsidRDefault="00000000" w:rsidRPr="00000000" w14:paraId="00000006">
      <w:pPr>
        <w:spacing w:after="240" w:before="240" w:line="276" w:lineRule="auto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Prowadzimy produkcję mleczną, więc jakość kiszonki z kukurydzy jest dla nas absolutnie kluczowa. Od niej zależy zdrowie stada i poziom produkcji mleka, dlatego przy wyborze sieczkarni najmocniej zwracaliśmy uwagę właśnie na jakość cięcia, stopień uszkodzenia oraz rozdrobnienia  ziarna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mówi Hubert Zakrzewski.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Jakość kiszonki to większa wydajność mleczna</w:t>
      </w:r>
    </w:p>
    <w:p w:rsidR="00000000" w:rsidDel="00000000" w:rsidP="00000000" w:rsidRDefault="00000000" w:rsidRPr="00000000" w14:paraId="00000009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Badania prowadzone w Europie potwierdzają, że odpowiednia jakość kiszonki z kukurydzy może znacząco zwiększyć roczną produkcję mleka porównaniu z gospodarstwami, które jej nie stosują</w:t>
      </w:r>
      <w:r w:rsidDel="00000000" w:rsidR="00000000" w:rsidRPr="00000000">
        <w:rPr>
          <w:rFonts w:ascii="Verdana" w:cs="Verdana" w:eastAsia="Verdana" w:hAnsi="Verdana"/>
          <w:vertAlign w:val="superscript"/>
        </w:rPr>
        <w:footnoteReference w:customMarkFollows="0" w:id="0"/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Co więcej, precyzyjne przetwarzanie kukurydzy zbieranej na kiszonkę  m.in. właściwe uszkodzenie i rozdrobnienie ziarniaków, podnosi strawność skrobi, co przekłada się na wyższą zawartość tłuszczu w mleku.</w:t>
      </w:r>
    </w:p>
    <w:p w:rsidR="00000000" w:rsidDel="00000000" w:rsidP="00000000" w:rsidRDefault="00000000" w:rsidRPr="00000000" w14:paraId="0000000A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Inne badania potwierdzają, że już 1‑procentowy wzrost strawności włókna w kiszonce z kukurydzy skutkuje zwiększeniem dziennej wydajności mleka o ok. 0,08 kg na krowę</w:t>
      </w:r>
      <w:r w:rsidDel="00000000" w:rsidR="00000000" w:rsidRPr="00000000">
        <w:rPr>
          <w:rFonts w:ascii="Verdana" w:cs="Verdana" w:eastAsia="Verdana" w:hAnsi="Verdana"/>
          <w:vertAlign w:val="superscript"/>
        </w:rPr>
        <w:footnoteReference w:customMarkFollows="0" w:id="1"/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Dodatkowo, w niektórych gospodarstwach w Wielkiej Brytanii włączenie kukurydzy do dawki (min. 50%) zamiast samej trawy podniosło produkcję mleka o nawet 2,3 kg dziennie na krowę</w:t>
      </w:r>
      <w:r w:rsidDel="00000000" w:rsidR="00000000" w:rsidRPr="00000000">
        <w:rPr>
          <w:rFonts w:ascii="Verdana" w:cs="Verdana" w:eastAsia="Verdana" w:hAnsi="Verdana"/>
          <w:vertAlign w:val="superscript"/>
        </w:rPr>
        <w:footnoteReference w:customMarkFollows="0" w:id="2"/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Kiszonka  z kukurydzy, dzięki obecności włókna poprawia perystaltykę żwacza, a także wspiera przeżuwanie i trawienie – co razem sprzyja wzrostowi produkcji mleka</w:t>
      </w:r>
      <w:r w:rsidDel="00000000" w:rsidR="00000000" w:rsidRPr="00000000">
        <w:rPr>
          <w:rFonts w:ascii="Verdana" w:cs="Verdana" w:eastAsia="Verdana" w:hAnsi="Verdana"/>
          <w:vertAlign w:val="superscript"/>
        </w:rPr>
        <w:footnoteReference w:customMarkFollows="0" w:id="3"/>
      </w:r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0B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Zakrzewscy przekonali się o tym w praktyce. 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Testowaliśmy różne marki, ale najlepsze efekty dawała sieczkarnia John Deere. Model 8300, który u nas pracuje trzeci sezon, zapewnia niesamowitą jakość cięcia. To przekłada się na lepszą strawność paszy, a w efekcie na wydajność mleka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podkreśla gospodarz.</w:t>
      </w:r>
    </w:p>
    <w:p w:rsidR="00000000" w:rsidDel="00000000" w:rsidP="00000000" w:rsidRDefault="00000000" w:rsidRPr="00000000" w14:paraId="0000000C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80" w:before="360" w:line="276" w:lineRule="auto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Flota maszyn dopasowana do gospodarstwa mlecznego</w:t>
      </w:r>
    </w:p>
    <w:p w:rsidR="00000000" w:rsidDel="00000000" w:rsidP="00000000" w:rsidRDefault="00000000" w:rsidRPr="00000000" w14:paraId="0000000E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Historia współpracy rodziny Zakrzewskich z John Deere sięga 2006 roku, kiedy ojciec Huberta kupił pierwszy ciągnik tej marki – model 6420. Od tego czasu flota systematycznie rosła. Dziś gospodarstwo pracuje na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9 ciągnikach John Deere oraz 2 sieczkarniach serii 8000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W tym roku dołączyły do nich 8R 370, 6M 155 i sieczkarnia 8400.</w:t>
      </w:r>
    </w:p>
    <w:p w:rsidR="00000000" w:rsidDel="00000000" w:rsidP="00000000" w:rsidRDefault="00000000" w:rsidRPr="00000000" w14:paraId="0000000F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8R wybraliśmy ze względu na komfort pracy i niesamowity uciąg. Skrzynia bezstopniowa AutoPowr i joystick CommandPRO bardzo ułatwiają obsługę, a system regulacji ciśnienia w oponach pozwala nam ograniczyć zużycie paliwa i zmniejszyć ugniatanie gleby. Dla nas liczy się każdy detal, który przekłada się na efektywność całego gospodarstwa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wylicza Hubert.</w:t>
      </w:r>
    </w:p>
    <w:p w:rsidR="00000000" w:rsidDel="00000000" w:rsidP="00000000" w:rsidRDefault="00000000" w:rsidRPr="00000000" w14:paraId="00000010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Rodzina testowała różne marki ciągników, ale jak podkreślają, to właśnie John Deere zapewnił najlepsze połączenie spalania, komfortu i niezawodności.</w:t>
      </w:r>
    </w:p>
    <w:p w:rsidR="00000000" w:rsidDel="00000000" w:rsidP="00000000" w:rsidRDefault="00000000" w:rsidRPr="00000000" w14:paraId="00000011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80" w:before="360" w:line="276" w:lineRule="auto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Technologie precyzyjne w służbie mleka</w:t>
      </w:r>
    </w:p>
    <w:p w:rsidR="00000000" w:rsidDel="00000000" w:rsidP="00000000" w:rsidRDefault="00000000" w:rsidRPr="00000000" w14:paraId="00000013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Zakrzewscy mocno inwestują w rolnictwo precyzyjne. Jednym z ostatnich ich zakupów był odbiornik StarFire 7000 wraz z mobilnym RTK, który zapewnia dokładność do 2,5 cm. 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Odbiorniki są mobilne, więc w kilka sekund możemy przełożyć je na inne maszyny. W przyszłości chcemy też korzystać z czujnika HarvestLab, aby tworzyć mapy plonu oraz mapy zawartości składników pokarmowych w zbieranym materiale przezanaczonym na kiszonki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- dodaje Hubert.</w:t>
      </w:r>
    </w:p>
    <w:p w:rsidR="00000000" w:rsidDel="00000000" w:rsidP="00000000" w:rsidRDefault="00000000" w:rsidRPr="00000000" w14:paraId="00000014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Dzięki współpracy z lokalnym dealerem FRICKE Maszyny Rolnicze gospodarstwo w ciągu ostatnich trzech lat wzbogaciło się o trzy ciągniki i dwie sieczkarnie. 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„Serwis działa szybko i sprawnie, a to dla nas niezwykle ważne. Każda godzina opóźnienia w zbiorze kiszonki to realne straty dla stada”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podkreśla rolnik.</w:t>
      </w:r>
    </w:p>
    <w:p w:rsidR="00000000" w:rsidDel="00000000" w:rsidP="00000000" w:rsidRDefault="00000000" w:rsidRPr="00000000" w14:paraId="00000015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80" w:before="360" w:line="276" w:lineRule="auto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Rolnictwo przyszłości oparte na sprawdzonych rozwiązaniach</w:t>
      </w:r>
    </w:p>
    <w:p w:rsidR="00000000" w:rsidDel="00000000" w:rsidP="00000000" w:rsidRDefault="00000000" w:rsidRPr="00000000" w14:paraId="00000017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Produkcja mleka to jeden z najbardziej wymagających kierunków w rolnictwie. Wymaga zarówno precyzji w zbiorze i żywieniu, jak i niezawodnego zaplecza maszynowego. Historia gospodarstwa Zakrzewskich pokazuje, że inwestycja w jakość kiszonki i technologie wspierające pracę w polu realnie przekłada się na wyniki produkcyjne.</w:t>
      </w:r>
    </w:p>
    <w:p w:rsidR="00000000" w:rsidDel="00000000" w:rsidP="00000000" w:rsidRDefault="00000000" w:rsidRPr="00000000" w14:paraId="00000018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Dzięki odpowiednio dobranym maszynom mamy pewność, że nasze stado otrzymuje kiszonkę najwyższej jakości. To przekłada się na doskonałe zdrowie krów i wyższą wydajność mleczną. A dla nas oznacza stabilny rozwój gospodarstwa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 podsumowuje Hubert Zakrzewski.</w:t>
      </w:r>
    </w:p>
    <w:p w:rsidR="00000000" w:rsidDel="00000000" w:rsidP="00000000" w:rsidRDefault="00000000" w:rsidRPr="00000000" w14:paraId="00000019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-19042</wp:posOffset>
                </wp:positionH>
                <wp:positionV relativeFrom="paragraph">
                  <wp:posOffset>-19043</wp:posOffset>
                </wp:positionV>
                <wp:extent cx="2847975" cy="377825"/>
                <wp:effectExtent b="0" l="0" r="0" t="0"/>
                <wp:wrapNone/>
                <wp:docPr id="4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-19042</wp:posOffset>
                </wp:positionH>
                <wp:positionV relativeFrom="paragraph">
                  <wp:posOffset>-19043</wp:posOffset>
                </wp:positionV>
                <wp:extent cx="2847975" cy="377825"/>
                <wp:effectExtent b="0" l="0" r="0" t="0"/>
                <wp:wrapNone/>
                <wp:docPr id="4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47975" cy="377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4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28586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50" name="image3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26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Więcej informacji:</w:t>
      </w:r>
    </w:p>
    <w:p w:rsidR="00000000" w:rsidDel="00000000" w:rsidP="00000000" w:rsidRDefault="00000000" w:rsidRPr="00000000" w14:paraId="00000027">
      <w:pPr>
        <w:spacing w:line="276" w:lineRule="auto"/>
        <w:jc w:val="right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Bartosz Białas</w:t>
      </w:r>
    </w:p>
    <w:p w:rsidR="00000000" w:rsidDel="00000000" w:rsidP="00000000" w:rsidRDefault="00000000" w:rsidRPr="00000000" w14:paraId="00000029">
      <w:pPr>
        <w:spacing w:line="276" w:lineRule="auto"/>
        <w:jc w:val="right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2A">
      <w:pPr>
        <w:spacing w:line="276" w:lineRule="auto"/>
        <w:ind w:left="5040" w:firstLine="0"/>
        <w:jc w:val="right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</w:p>
    <w:p w:rsidR="00000000" w:rsidDel="00000000" w:rsidP="00000000" w:rsidRDefault="00000000" w:rsidRPr="00000000" w14:paraId="0000002B">
      <w:pPr>
        <w:spacing w:line="276" w:lineRule="auto"/>
        <w:jc w:val="right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tel. 784 943 447</w:t>
      </w:r>
    </w:p>
    <w:p w:rsidR="00000000" w:rsidDel="00000000" w:rsidP="00000000" w:rsidRDefault="00000000" w:rsidRPr="00000000" w14:paraId="0000002C">
      <w:pPr>
        <w:spacing w:line="276" w:lineRule="auto"/>
        <w:ind w:left="5760" w:firstLine="0"/>
        <w:jc w:val="righ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Justyna Tomczak</w:t>
      </w:r>
    </w:p>
    <w:p w:rsidR="00000000" w:rsidDel="00000000" w:rsidP="00000000" w:rsidRDefault="00000000" w:rsidRPr="00000000" w14:paraId="0000002E">
      <w:pPr>
        <w:spacing w:line="276" w:lineRule="auto"/>
        <w:jc w:val="right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 Manager, dotrelations</w:t>
      </w:r>
    </w:p>
    <w:p w:rsidR="00000000" w:rsidDel="00000000" w:rsidP="00000000" w:rsidRDefault="00000000" w:rsidRPr="00000000" w14:paraId="0000002F">
      <w:pPr>
        <w:spacing w:line="276" w:lineRule="auto"/>
        <w:jc w:val="right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e–mail: </w:t>
      </w:r>
      <w:hyperlink r:id="rId12">
        <w:r w:rsidDel="00000000" w:rsidR="00000000" w:rsidRPr="00000000">
          <w:rPr>
            <w:rFonts w:ascii="Verdana" w:cs="Verdana" w:eastAsia="Verdana" w:hAnsi="Verdana"/>
            <w:color w:val="1155cc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</w:p>
    <w:p w:rsidR="00000000" w:rsidDel="00000000" w:rsidP="00000000" w:rsidRDefault="00000000" w:rsidRPr="00000000" w14:paraId="00000030">
      <w:pPr>
        <w:spacing w:line="276" w:lineRule="auto"/>
        <w:jc w:val="righ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13" w:type="default"/>
      <w:footerReference r:id="rId14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-1162042</wp:posOffset>
              </wp:positionH>
              <wp:positionV relativeFrom="paragraph">
                <wp:posOffset>10128250</wp:posOffset>
              </wp:positionV>
              <wp:extent cx="7665720" cy="37782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4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-1162042</wp:posOffset>
              </wp:positionH>
              <wp:positionV relativeFrom="paragraph">
                <wp:posOffset>10128250</wp:posOffset>
              </wp:positionV>
              <wp:extent cx="7665720" cy="37782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4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65720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31">
      <w:pPr>
        <w:rPr>
          <w:rFonts w:ascii="Arial" w:cs="Arial" w:eastAsia="Arial" w:hAnsi="Arial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rtl w:val="0"/>
        </w:rPr>
        <w:t xml:space="preserve"> Medin Zeqiri, „The effect of corn silage on milk production in dairy farms in Kosovo and Austria”,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Journal of Hygienic Engineering and Design</w:t>
      </w:r>
      <w:r w:rsidDel="00000000" w:rsidR="00000000" w:rsidRPr="00000000">
        <w:rPr>
          <w:rFonts w:ascii="Arial" w:cs="Arial" w:eastAsia="Arial" w:hAnsi="Arial"/>
          <w:rtl w:val="0"/>
        </w:rPr>
        <w:t xml:space="preserve">, Vol. 46, 2024, s. 109–115. Dostęp online: </w:t>
      </w:r>
      <w:hyperlink r:id="rId1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0"/>
          </w:rPr>
          <w:t xml:space="preserve">https://keypublishing.org/jhed/wp-content/uploads/2024/03/10.-Full-paper-Medin-Zeqiri.pdf</w:t>
        </w:r>
      </w:hyperlink>
      <w:r w:rsidDel="00000000" w:rsidR="00000000" w:rsidRPr="00000000">
        <w:rPr>
          <w:rtl w:val="0"/>
        </w:rPr>
      </w:r>
    </w:p>
  </w:footnote>
  <w:footnote w:id="1">
    <w:p w:rsidR="00000000" w:rsidDel="00000000" w:rsidP="00000000" w:rsidRDefault="00000000" w:rsidRPr="00000000" w14:paraId="00000032">
      <w:pPr>
        <w:rPr>
          <w:rFonts w:ascii="Arial" w:cs="Arial" w:eastAsia="Arial" w:hAnsi="Arial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rtl w:val="0"/>
        </w:rPr>
        <w:t xml:space="preserve"> F. Diaz, „Effect of corn silage fiber digestibility on dairy cow performance”,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Dellait – Animal Nutrition &amp; Health</w:t>
      </w:r>
      <w:r w:rsidDel="00000000" w:rsidR="00000000" w:rsidRPr="00000000">
        <w:rPr>
          <w:rFonts w:ascii="Arial" w:cs="Arial" w:eastAsia="Arial" w:hAnsi="Arial"/>
          <w:rtl w:val="0"/>
        </w:rPr>
        <w:t xml:space="preserve">, 2020. Dostęp online: </w:t>
      </w:r>
      <w:hyperlink r:id="rId2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0"/>
          </w:rPr>
          <w:t xml:space="preserve">https://dellait.com/effect-of-corn-silage-fiber-digestibility-on-dairy-cow-performance/</w:t>
        </w:r>
      </w:hyperlink>
      <w:r w:rsidDel="00000000" w:rsidR="00000000" w:rsidRPr="00000000">
        <w:rPr>
          <w:rtl w:val="0"/>
        </w:rPr>
      </w:r>
    </w:p>
  </w:footnote>
  <w:footnote w:id="2">
    <w:p w:rsidR="00000000" w:rsidDel="00000000" w:rsidP="00000000" w:rsidRDefault="00000000" w:rsidRPr="00000000" w14:paraId="00000033">
      <w:pPr>
        <w:rPr>
          <w:rFonts w:ascii="Arial" w:cs="Arial" w:eastAsia="Arial" w:hAnsi="Arial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rtl w:val="0"/>
        </w:rPr>
        <w:t xml:space="preserve"> Megalac, „How do different silage types affect milk production?”,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Megalac News</w:t>
      </w:r>
      <w:r w:rsidDel="00000000" w:rsidR="00000000" w:rsidRPr="00000000">
        <w:rPr>
          <w:rFonts w:ascii="Arial" w:cs="Arial" w:eastAsia="Arial" w:hAnsi="Arial"/>
          <w:rtl w:val="0"/>
        </w:rPr>
        <w:t xml:space="preserve">, 2019. Dostęp online:</w:t>
      </w:r>
      <w:hyperlink r:id="rId3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0"/>
          </w:rPr>
          <w:t xml:space="preserve">https://www.megalac.com/about/news/199-how-do-different-silage-types-affect-milk-production</w:t>
        </w:r>
      </w:hyperlink>
      <w:r w:rsidDel="00000000" w:rsidR="00000000" w:rsidRPr="00000000">
        <w:rPr>
          <w:rtl w:val="0"/>
        </w:rPr>
      </w:r>
    </w:p>
  </w:footnote>
  <w:footnote w:id="3">
    <w:p w:rsidR="00000000" w:rsidDel="00000000" w:rsidP="00000000" w:rsidRDefault="00000000" w:rsidRPr="00000000" w14:paraId="00000034">
      <w:pPr>
        <w:rPr>
          <w:rFonts w:ascii="Arial" w:cs="Arial" w:eastAsia="Arial" w:hAnsi="Arial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rtl w:val="0"/>
        </w:rPr>
        <w:t xml:space="preserve"> Luiz F. Ferraretto, „New insights about corn silage fatty acids”,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Dairy Extension, University of Wisconsin–Madison</w:t>
      </w:r>
      <w:r w:rsidDel="00000000" w:rsidR="00000000" w:rsidRPr="00000000">
        <w:rPr>
          <w:rFonts w:ascii="Arial" w:cs="Arial" w:eastAsia="Arial" w:hAnsi="Arial"/>
          <w:rtl w:val="0"/>
        </w:rPr>
        <w:t xml:space="preserve">, 2021. Dostęp online: </w:t>
      </w:r>
      <w:hyperlink r:id="rId4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0"/>
          </w:rPr>
          <w:t xml:space="preserve">https://dairy.extension.wisc.edu/articles/new-insights-about-corn-silage-fatty-acids/</w:t>
        </w:r>
      </w:hyperlink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color w:val="000000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6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-63488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48" name="image2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2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7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9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before="60" w:lineRule="auto"/>
            <w:ind w:right="-533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3A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3B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3C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D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3E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5" w:customStyle="1">
    <w:name w:val="TableNormal5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4" w:customStyle="1">
    <w:name w:val="TableNormal4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Normal3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9" w:customStyle="1">
    <w:name w:val="9"/>
    <w:basedOn w:val="TableNormal"/>
    <w:rPr>
      <w:color w:val="404040"/>
    </w:rPr>
    <w:tblPr>
      <w:tblStyleRowBandSize w:val="1"/>
      <w:tblStyleColBandSize w:val="1"/>
      <w:tblCellMar>
        <w:left w:w="198.0" w:type="dxa"/>
        <w:right w:w="198.0" w:type="dxa"/>
      </w:tblCellMar>
    </w:tblPr>
    <w:tcPr>
      <w:shd w:color="auto" w:fill="a9d08e" w:val="clear"/>
    </w:tcPr>
  </w:style>
  <w:style w:type="table" w:styleId="8" w:customStyle="1">
    <w:name w:val="8"/>
    <w:basedOn w:val="TableNormal"/>
    <w:rPr>
      <w:color w:val="404040"/>
    </w:rPr>
    <w:tblPr>
      <w:tblStyleRowBandSize w:val="1"/>
      <w:tblStyleColBandSize w:val="1"/>
      <w:tblCellMar>
        <w:left w:w="115.0" w:type="dxa"/>
        <w:right w:w="115.0" w:type="dxa"/>
      </w:tblCellMar>
    </w:tblPr>
    <w:tcPr>
      <w:shd w:color="auto" w:fill="a9d08e" w:val="clear"/>
    </w:tcPr>
  </w:style>
  <w:style w:type="paragraph" w:styleId="CommentText">
    <w:name w:val="annotation text"/>
    <w:link w:val="CommentTextChar"/>
    <w:uiPriority w:val="99"/>
    <w:semiHidden w:val="1"/>
    <w:unhideWhenUsed w:val="1"/>
  </w:style>
  <w:style w:type="character" w:styleId="CommentTextChar" w:customStyle="1">
    <w:name w:val="Comment Text Char"/>
    <w:basedOn w:val="DefaultParagraphFont"/>
    <w:link w:val="CommentText"/>
    <w:uiPriority w:val="99"/>
    <w:semiHidden w:val="1"/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paragraph" w:styleId="Revision">
    <w:name w:val="Revision"/>
    <w:hidden w:val="1"/>
    <w:uiPriority w:val="99"/>
    <w:semiHidden w:val="1"/>
    <w:rsid w:val="00237908"/>
  </w:style>
  <w:style w:type="table" w:styleId="7" w:customStyle="1">
    <w:name w:val="7"/>
    <w:basedOn w:val="TableNormal"/>
    <w:rPr>
      <w:color w:val="404040"/>
    </w:rPr>
    <w:tblPr>
      <w:tblStyleRowBandSize w:val="1"/>
      <w:tblStyleColBandSize w:val="1"/>
      <w:tblCellMar>
        <w:left w:w="115.0" w:type="dxa"/>
        <w:right w:w="115.0" w:type="dxa"/>
      </w:tblCellMar>
    </w:tblPr>
    <w:tcPr>
      <w:shd w:color="auto" w:fill="a9d08e" w:val="clear"/>
    </w:tcPr>
  </w:style>
  <w:style w:type="table" w:styleId="6" w:customStyle="1">
    <w:name w:val="6"/>
    <w:basedOn w:val="TableNormal"/>
    <w:rPr>
      <w:color w:val="404040"/>
    </w:rPr>
    <w:tblPr>
      <w:tblStyleRowBandSize w:val="1"/>
      <w:tblStyleColBandSize w:val="1"/>
      <w:tblCellMar>
        <w:left w:w="115.0" w:type="dxa"/>
        <w:right w:w="115.0" w:type="dxa"/>
      </w:tblCellMar>
    </w:tblPr>
    <w:tcPr>
      <w:shd w:color="auto" w:fill="a9d08e" w:val="clear"/>
    </w:tcPr>
  </w:style>
  <w:style w:type="table" w:styleId="5" w:customStyle="1">
    <w:name w:val="5"/>
    <w:basedOn w:val="TableNormal"/>
    <w:rPr>
      <w:color w:val="404040"/>
    </w:rPr>
    <w:tblPr>
      <w:tblStyleRowBandSize w:val="1"/>
      <w:tblStyleColBandSize w:val="1"/>
      <w:tblCellMar>
        <w:left w:w="115.0" w:type="dxa"/>
        <w:right w:w="115.0" w:type="dxa"/>
      </w:tblCellMar>
    </w:tblPr>
    <w:tcPr>
      <w:shd w:color="auto" w:fill="a9d08e" w:val="clear"/>
    </w:tcPr>
  </w:style>
  <w:style w:type="table" w:styleId="4" w:customStyle="1">
    <w:name w:val="4"/>
    <w:basedOn w:val="TableNormal"/>
    <w:rPr>
      <w:color w:val="404040"/>
    </w:rPr>
    <w:tblPr>
      <w:tblStyleRowBandSize w:val="1"/>
      <w:tblStyleColBandSize w:val="1"/>
      <w:tblCellMar>
        <w:left w:w="115.0" w:type="dxa"/>
        <w:right w:w="115.0" w:type="dxa"/>
      </w:tblCellMar>
    </w:tblPr>
    <w:tcPr>
      <w:shd w:color="auto" w:fill="a9d08e" w:val="clear"/>
    </w:tcPr>
  </w:style>
  <w:style w:type="table" w:styleId="3" w:customStyle="1">
    <w:name w:val="3"/>
    <w:basedOn w:val="TableNormal"/>
    <w:rPr>
      <w:color w:val="404040"/>
    </w:rPr>
    <w:tblPr>
      <w:tblStyleRowBandSize w:val="1"/>
      <w:tblStyleColBandSize w:val="1"/>
      <w:tblCellMar>
        <w:left w:w="115.0" w:type="dxa"/>
        <w:right w:w="115.0" w:type="dxa"/>
      </w:tblCellMar>
    </w:tblPr>
    <w:tcPr>
      <w:shd w:color="auto" w:fill="a9d08e" w:val="clear"/>
    </w:tcPr>
  </w:style>
  <w:style w:type="table" w:styleId="2" w:customStyle="1">
    <w:name w:val="2"/>
    <w:basedOn w:val="TableNormal"/>
    <w:rPr>
      <w:color w:val="404040"/>
    </w:rPr>
    <w:tblPr>
      <w:tblStyleRowBandSize w:val="1"/>
      <w:tblStyleColBandSize w:val="1"/>
      <w:tblCellMar>
        <w:left w:w="115.0" w:type="dxa"/>
        <w:right w:w="115.0" w:type="dxa"/>
      </w:tblCellMar>
    </w:tblPr>
    <w:tcPr>
      <w:shd w:color="auto" w:fill="a9d08e" w:val="clear"/>
    </w:tcPr>
  </w:style>
  <w:style w:type="table" w:styleId="1" w:customStyle="1">
    <w:name w:val="1"/>
    <w:basedOn w:val="TableNormal"/>
    <w:rPr>
      <w:color w:val="404040"/>
    </w:rPr>
    <w:tblPr>
      <w:tblStyleRowBandSize w:val="1"/>
      <w:tblStyleColBandSize w:val="1"/>
      <w:tblCellMar>
        <w:left w:w="115.0" w:type="dxa"/>
        <w:right w:w="115.0" w:type="dxa"/>
      </w:tblCellMar>
    </w:tblPr>
    <w:tcPr>
      <w:shd w:color="auto" w:fill="a9d08e" w:val="clear"/>
    </w:tc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00" w:before="200" w:lineRule="auto"/>
    </w:pPr>
    <w:rPr>
      <w:color w:val="000000"/>
      <w:sz w:val="24"/>
      <w:szCs w:val="24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BialasBartosz@JohnDeere.com" TargetMode="External"/><Relationship Id="rId10" Type="http://schemas.openxmlformats.org/officeDocument/2006/relationships/image" Target="media/image3.png"/><Relationship Id="rId13" Type="http://schemas.openxmlformats.org/officeDocument/2006/relationships/header" Target="header1.xml"/><Relationship Id="rId12" Type="http://schemas.openxmlformats.org/officeDocument/2006/relationships/hyperlink" Target="mailto:justyna.tomczak@dotrelations.pl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1.png"/><Relationship Id="rId1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4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footnotes.xml.rels><?xml version="1.0" encoding="UTF-8" standalone="yes"?><Relationships xmlns="http://schemas.openxmlformats.org/package/2006/relationships"><Relationship Id="rId1" Type="http://schemas.openxmlformats.org/officeDocument/2006/relationships/hyperlink" Target="https://keypublishing.org/jhed/wp-content/uploads/2024/03/10.-Full-paper-Medin-Zeqiri.pdf?utm_source=chatgpt.com" TargetMode="External"/><Relationship Id="rId2" Type="http://schemas.openxmlformats.org/officeDocument/2006/relationships/hyperlink" Target="https://dellait.com/effect-of-corn-silage-fiber-digestibility-on-dairy-cow-performance/?utm_source=chatgpt.com" TargetMode="External"/><Relationship Id="rId3" Type="http://schemas.openxmlformats.org/officeDocument/2006/relationships/hyperlink" Target="https://www.megalac.com/about/news/199-how-do-different-silage-types-affect-milk-production?utm_source=chatgpt.com" TargetMode="External"/><Relationship Id="rId4" Type="http://schemas.openxmlformats.org/officeDocument/2006/relationships/hyperlink" Target="https://dairy.extension.wisc.edu/articles/new-insights-about-corn-silage-fatty-acids/?utm_source=chatgpt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u40JbdgvxT254Eo42ob+RhCFNg==">CgMxLjA4AHIhMWx4a09WbHlDNkNwLTdDZ09MVVNhd3k3Uk54QkVqQzZn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2024-05-22T12:52:00Z</dcterms:created>
  <dc:creator>Bartosz Bialas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9374dd-2437-4816-8d63-bf9cc1b578e5_Enabled">
    <vt:lpwstr>true</vt:lpwstr>
  </property>
  <property fmtid="{D5CDD505-2E9C-101B-9397-08002B2CF9AE}" pid="3" name="MSIP_Label_029374dd-2437-4816-8d63-bf9cc1b578e5_ContentBits">
    <vt:lpwstr>2</vt:lpwstr>
  </property>
  <property fmtid="{D5CDD505-2E9C-101B-9397-08002B2CF9AE}" pid="4" name="MSIP_Label_029374dd-2437-4816-8d63-bf9cc1b578e5_ActionId">
    <vt:lpwstr>2309a715-33f9-4e5a-aba8-047f6a912a7d</vt:lpwstr>
  </property>
  <property fmtid="{D5CDD505-2E9C-101B-9397-08002B2CF9AE}" pid="5" name="MSIP_Label_029374dd-2437-4816-8d63-bf9cc1b578e5_SiteId">
    <vt:lpwstr>39b03722-b836-496a-85ec-850f0957ca6b</vt:lpwstr>
  </property>
  <property fmtid="{D5CDD505-2E9C-101B-9397-08002B2CF9AE}" pid="6" name="ContentTypeId">
    <vt:lpwstr>0x010100CF29B15429B40048AF50042F226F91CD</vt:lpwstr>
  </property>
  <property fmtid="{D5CDD505-2E9C-101B-9397-08002B2CF9AE}" pid="7" name="MSIP_Label_029374dd-2437-4816-8d63-bf9cc1b578e5_SetDate">
    <vt:lpwstr>2023-02-20T22:31:27Z</vt:lpwstr>
  </property>
  <property fmtid="{D5CDD505-2E9C-101B-9397-08002B2CF9AE}" pid="8" name="MSIP_Label_029374dd-2437-4816-8d63-bf9cc1b578e5_Name">
    <vt:lpwstr>Public</vt:lpwstr>
  </property>
  <property fmtid="{D5CDD505-2E9C-101B-9397-08002B2CF9AE}" pid="9" name="MSIP_Label_029374dd-2437-4816-8d63-bf9cc1b578e5_Method">
    <vt:lpwstr>Privileged</vt:lpwstr>
  </property>
</Properties>
</file>