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1FCBC0" w14:textId="77777777" w:rsidR="003B005F" w:rsidRDefault="003B005F">
      <w:pPr>
        <w:spacing w:line="276" w:lineRule="auto"/>
        <w:jc w:val="both"/>
        <w:rPr>
          <w:rFonts w:ascii="Verdana" w:eastAsia="Verdana" w:hAnsi="Verdana" w:cs="Verdana"/>
          <w:b/>
          <w:color w:val="008000"/>
          <w:sz w:val="24"/>
          <w:szCs w:val="24"/>
        </w:rPr>
      </w:pPr>
    </w:p>
    <w:p w14:paraId="1AD87CF0" w14:textId="77777777" w:rsidR="003B005F" w:rsidRDefault="00000000">
      <w:pPr>
        <w:spacing w:before="280" w:after="80" w:line="276" w:lineRule="auto"/>
        <w:rPr>
          <w:rFonts w:ascii="Verdana" w:eastAsia="Verdana" w:hAnsi="Verdana" w:cs="Verdana"/>
          <w:b/>
          <w:color w:val="008000"/>
          <w:sz w:val="22"/>
          <w:szCs w:val="22"/>
        </w:rPr>
      </w:pPr>
      <w:r>
        <w:rPr>
          <w:rFonts w:ascii="Verdana" w:eastAsia="Verdana" w:hAnsi="Verdana" w:cs="Verdana"/>
          <w:b/>
          <w:color w:val="008000"/>
          <w:sz w:val="22"/>
          <w:szCs w:val="22"/>
        </w:rPr>
        <w:t>Precyzyjny siew, maksymalne wykorzystanie okna pożniwnego</w:t>
      </w:r>
    </w:p>
    <w:p w14:paraId="7E3DC426" w14:textId="77777777" w:rsidR="003B005F" w:rsidRDefault="00000000">
      <w:pPr>
        <w:numPr>
          <w:ilvl w:val="0"/>
          <w:numId w:val="1"/>
        </w:numPr>
        <w:spacing w:before="240" w:line="276" w:lineRule="auto"/>
        <w:rPr>
          <w:rFonts w:ascii="Verdana" w:eastAsia="Verdana" w:hAnsi="Verdana" w:cs="Verdana"/>
          <w:b/>
        </w:rPr>
      </w:pPr>
      <w:r>
        <w:rPr>
          <w:rFonts w:ascii="Verdana" w:eastAsia="Verdana" w:hAnsi="Verdana" w:cs="Verdana"/>
          <w:b/>
        </w:rPr>
        <w:t xml:space="preserve">Siewniki </w:t>
      </w:r>
      <w:proofErr w:type="spellStart"/>
      <w:r>
        <w:rPr>
          <w:rFonts w:ascii="Verdana" w:eastAsia="Verdana" w:hAnsi="Verdana" w:cs="Verdana"/>
          <w:b/>
        </w:rPr>
        <w:t>Monosem</w:t>
      </w:r>
      <w:proofErr w:type="spellEnd"/>
      <w:r>
        <w:rPr>
          <w:rFonts w:ascii="Verdana" w:eastAsia="Verdana" w:hAnsi="Verdana" w:cs="Verdana"/>
          <w:b/>
        </w:rPr>
        <w:t xml:space="preserve"> </w:t>
      </w:r>
      <w:proofErr w:type="spellStart"/>
      <w:r>
        <w:rPr>
          <w:rFonts w:ascii="Verdana" w:eastAsia="Verdana" w:hAnsi="Verdana" w:cs="Verdana"/>
          <w:b/>
        </w:rPr>
        <w:t>ValoTerra</w:t>
      </w:r>
      <w:proofErr w:type="spellEnd"/>
      <w:r>
        <w:rPr>
          <w:rFonts w:ascii="Verdana" w:eastAsia="Verdana" w:hAnsi="Verdana" w:cs="Verdana"/>
          <w:b/>
        </w:rPr>
        <w:t xml:space="preserve"> i MS </w:t>
      </w:r>
      <w:proofErr w:type="spellStart"/>
      <w:r>
        <w:rPr>
          <w:rFonts w:ascii="Verdana" w:eastAsia="Verdana" w:hAnsi="Verdana" w:cs="Verdana"/>
          <w:b/>
        </w:rPr>
        <w:t>Electron</w:t>
      </w:r>
      <w:proofErr w:type="spellEnd"/>
      <w:r>
        <w:rPr>
          <w:rFonts w:ascii="Verdana" w:eastAsia="Verdana" w:hAnsi="Verdana" w:cs="Verdana"/>
          <w:b/>
        </w:rPr>
        <w:t xml:space="preserve"> zapewniają precyzyjny wysiew w różnych warunkach glebowych i uprawowych.</w:t>
      </w:r>
    </w:p>
    <w:p w14:paraId="229AD227" w14:textId="77777777" w:rsidR="003B005F" w:rsidRDefault="00000000">
      <w:pPr>
        <w:numPr>
          <w:ilvl w:val="0"/>
          <w:numId w:val="1"/>
        </w:numPr>
        <w:spacing w:line="276" w:lineRule="auto"/>
        <w:rPr>
          <w:rFonts w:ascii="Verdana" w:eastAsia="Verdana" w:hAnsi="Verdana" w:cs="Verdana"/>
          <w:b/>
        </w:rPr>
      </w:pPr>
      <w:r>
        <w:rPr>
          <w:rFonts w:ascii="Verdana" w:eastAsia="Verdana" w:hAnsi="Verdana" w:cs="Verdana"/>
          <w:b/>
        </w:rPr>
        <w:t> Ciągniki John Deere 6M i 6R gwarantują zwrotność i pełne wsparcie systemów rolnictwa precyzyjnego.</w:t>
      </w:r>
    </w:p>
    <w:p w14:paraId="287CEED2" w14:textId="519E922D" w:rsidR="003B005F" w:rsidRDefault="00000000">
      <w:pPr>
        <w:numPr>
          <w:ilvl w:val="0"/>
          <w:numId w:val="1"/>
        </w:numPr>
        <w:spacing w:after="240" w:line="276" w:lineRule="auto"/>
        <w:rPr>
          <w:rFonts w:ascii="Verdana" w:eastAsia="Verdana" w:hAnsi="Verdana" w:cs="Verdana"/>
          <w:b/>
        </w:rPr>
      </w:pPr>
      <w:r>
        <w:rPr>
          <w:rFonts w:ascii="Verdana" w:eastAsia="Verdana" w:hAnsi="Verdana" w:cs="Verdana"/>
          <w:b/>
        </w:rPr>
        <w:t xml:space="preserve">Połączenie technologii </w:t>
      </w:r>
      <w:proofErr w:type="spellStart"/>
      <w:r>
        <w:rPr>
          <w:rFonts w:ascii="Verdana" w:eastAsia="Verdana" w:hAnsi="Verdana" w:cs="Verdana"/>
          <w:b/>
        </w:rPr>
        <w:t>Monosem</w:t>
      </w:r>
      <w:proofErr w:type="spellEnd"/>
      <w:r>
        <w:rPr>
          <w:rFonts w:ascii="Verdana" w:eastAsia="Verdana" w:hAnsi="Verdana" w:cs="Verdana"/>
          <w:b/>
        </w:rPr>
        <w:t xml:space="preserve"> i John </w:t>
      </w:r>
      <w:proofErr w:type="spellStart"/>
      <w:r>
        <w:rPr>
          <w:rFonts w:ascii="Verdana" w:eastAsia="Verdana" w:hAnsi="Verdana" w:cs="Verdana"/>
          <w:b/>
        </w:rPr>
        <w:t>Deere</w:t>
      </w:r>
      <w:proofErr w:type="spellEnd"/>
      <w:r>
        <w:rPr>
          <w:rFonts w:ascii="Verdana" w:eastAsia="Verdana" w:hAnsi="Verdana" w:cs="Verdana"/>
          <w:b/>
        </w:rPr>
        <w:t xml:space="preserve"> to klucz do skutecznego wysiewu międzyplonów i nawożenia.</w:t>
      </w:r>
    </w:p>
    <w:p w14:paraId="5BE2C129" w14:textId="77777777" w:rsidR="003B005F" w:rsidRDefault="003B005F">
      <w:pPr>
        <w:spacing w:before="240" w:after="240" w:line="276" w:lineRule="auto"/>
        <w:rPr>
          <w:rFonts w:ascii="Verdana" w:eastAsia="Verdana" w:hAnsi="Verdana" w:cs="Verdana"/>
        </w:rPr>
      </w:pPr>
    </w:p>
    <w:p w14:paraId="251917B0" w14:textId="77777777" w:rsidR="003B005F" w:rsidRDefault="00000000">
      <w:pPr>
        <w:pStyle w:val="Nagwek3"/>
        <w:keepNext w:val="0"/>
        <w:keepLines w:val="0"/>
        <w:spacing w:before="280" w:after="80" w:line="276" w:lineRule="auto"/>
        <w:rPr>
          <w:rFonts w:ascii="Verdana" w:eastAsia="Verdana" w:hAnsi="Verdana" w:cs="Verdana"/>
          <w:b/>
          <w:color w:val="000000"/>
          <w:sz w:val="20"/>
          <w:szCs w:val="20"/>
        </w:rPr>
      </w:pPr>
      <w:bookmarkStart w:id="0" w:name="_heading=h.gykvx8ucoi6t" w:colFirst="0" w:colLast="0"/>
      <w:bookmarkEnd w:id="0"/>
      <w:r>
        <w:rPr>
          <w:rFonts w:ascii="Verdana" w:eastAsia="Verdana" w:hAnsi="Verdana" w:cs="Verdana"/>
          <w:b/>
          <w:color w:val="000000"/>
          <w:sz w:val="20"/>
          <w:szCs w:val="20"/>
        </w:rPr>
        <w:t xml:space="preserve">Siewniki </w:t>
      </w:r>
      <w:proofErr w:type="spellStart"/>
      <w:r>
        <w:rPr>
          <w:rFonts w:ascii="Verdana" w:eastAsia="Verdana" w:hAnsi="Verdana" w:cs="Verdana"/>
          <w:b/>
          <w:color w:val="000000"/>
          <w:sz w:val="20"/>
          <w:szCs w:val="20"/>
        </w:rPr>
        <w:t>Monosem</w:t>
      </w:r>
      <w:proofErr w:type="spellEnd"/>
      <w:r>
        <w:rPr>
          <w:rFonts w:ascii="Verdana" w:eastAsia="Verdana" w:hAnsi="Verdana" w:cs="Verdana"/>
          <w:b/>
          <w:color w:val="000000"/>
          <w:sz w:val="20"/>
          <w:szCs w:val="20"/>
        </w:rPr>
        <w:t>: konkretne rozwiązania, precyzyjny efekt</w:t>
      </w:r>
    </w:p>
    <w:p w14:paraId="4EAE93F4" w14:textId="62A7723A" w:rsidR="003B005F" w:rsidRDefault="00000000">
      <w:pPr>
        <w:spacing w:before="240" w:after="240"/>
        <w:rPr>
          <w:rFonts w:ascii="Verdana" w:eastAsia="Verdana" w:hAnsi="Verdana" w:cs="Verdana"/>
        </w:rPr>
      </w:pPr>
      <w:r>
        <w:rPr>
          <w:rFonts w:ascii="Verdana" w:eastAsia="Verdana" w:hAnsi="Verdana" w:cs="Verdana"/>
        </w:rPr>
        <w:t xml:space="preserve">Nowoczesne gospodarstwo potrzebuje rozwiązań, które łączą precyzję, elastyczność i wydajność – zwłaszcza wtedy, gdy okno pożniwne nie trwa długo. Siewniki </w:t>
      </w:r>
      <w:proofErr w:type="spellStart"/>
      <w:r>
        <w:rPr>
          <w:rFonts w:ascii="Verdana" w:eastAsia="Verdana" w:hAnsi="Verdana" w:cs="Verdana"/>
        </w:rPr>
        <w:t>Monosem</w:t>
      </w:r>
      <w:proofErr w:type="spellEnd"/>
      <w:r>
        <w:rPr>
          <w:rFonts w:ascii="Verdana" w:eastAsia="Verdana" w:hAnsi="Verdana" w:cs="Verdana"/>
        </w:rPr>
        <w:t xml:space="preserve"> – od modeli </w:t>
      </w:r>
      <w:proofErr w:type="spellStart"/>
      <w:r>
        <w:rPr>
          <w:rFonts w:ascii="Verdana" w:eastAsia="Verdana" w:hAnsi="Verdana" w:cs="Verdana"/>
        </w:rPr>
        <w:t>ValoTerra</w:t>
      </w:r>
      <w:proofErr w:type="spellEnd"/>
      <w:r>
        <w:rPr>
          <w:rFonts w:ascii="Verdana" w:eastAsia="Verdana" w:hAnsi="Verdana" w:cs="Verdana"/>
        </w:rPr>
        <w:t xml:space="preserve"> po najnowszego MS </w:t>
      </w:r>
      <w:proofErr w:type="spellStart"/>
      <w:r>
        <w:rPr>
          <w:rFonts w:ascii="Verdana" w:eastAsia="Verdana" w:hAnsi="Verdana" w:cs="Verdana"/>
        </w:rPr>
        <w:t>Electron</w:t>
      </w:r>
      <w:proofErr w:type="spellEnd"/>
      <w:r>
        <w:rPr>
          <w:rFonts w:ascii="Verdana" w:eastAsia="Verdana" w:hAnsi="Verdana" w:cs="Verdana"/>
        </w:rPr>
        <w:t xml:space="preserve"> – odpowiadają na konkretne wymagania techniczne użytkowników i realia pracy w polu. Każdy z modeli został zaprojektowany z myślą o różnych oczekiwaniach:</w:t>
      </w:r>
      <w:r w:rsidR="00DE01F9">
        <w:rPr>
          <w:rFonts w:ascii="Verdana" w:eastAsia="Verdana" w:hAnsi="Verdana" w:cs="Verdana"/>
        </w:rPr>
        <w:t xml:space="preserve"> </w:t>
      </w:r>
      <w:r>
        <w:rPr>
          <w:rFonts w:ascii="Verdana" w:eastAsia="Verdana" w:hAnsi="Verdana" w:cs="Verdana"/>
        </w:rPr>
        <w:t>uniwersalność, szybkość zmiany konfiguracji, kompaktową budowę lub specjalizację w uprawach drobnonasiennych.</w:t>
      </w:r>
    </w:p>
    <w:p w14:paraId="1A6EC964" w14:textId="77777777" w:rsidR="003B005F" w:rsidRDefault="00000000">
      <w:pPr>
        <w:spacing w:before="240" w:after="240" w:line="276" w:lineRule="auto"/>
        <w:rPr>
          <w:rFonts w:ascii="Verdana" w:eastAsia="Verdana" w:hAnsi="Verdana" w:cs="Verdana"/>
        </w:rPr>
      </w:pPr>
      <w:proofErr w:type="spellStart"/>
      <w:r>
        <w:rPr>
          <w:rFonts w:ascii="Verdana" w:eastAsia="Verdana" w:hAnsi="Verdana" w:cs="Verdana"/>
          <w:b/>
        </w:rPr>
        <w:t>ValoTerra</w:t>
      </w:r>
      <w:proofErr w:type="spellEnd"/>
      <w:r>
        <w:rPr>
          <w:rFonts w:ascii="Verdana" w:eastAsia="Verdana" w:hAnsi="Verdana" w:cs="Verdana"/>
          <w:b/>
        </w:rPr>
        <w:t xml:space="preserve"> TFC2 Ultimate</w:t>
      </w:r>
      <w:r>
        <w:rPr>
          <w:rFonts w:ascii="Verdana" w:eastAsia="Verdana" w:hAnsi="Verdana" w:cs="Verdana"/>
        </w:rPr>
        <w:t xml:space="preserve"> to siewnik tworzony z myślą o wymagających użytkownikach, łączący precyzyjny element wysiewający </w:t>
      </w:r>
      <w:proofErr w:type="spellStart"/>
      <w:r>
        <w:rPr>
          <w:rFonts w:ascii="Verdana" w:eastAsia="Verdana" w:hAnsi="Verdana" w:cs="Verdana"/>
        </w:rPr>
        <w:t>ValoTerra</w:t>
      </w:r>
      <w:proofErr w:type="spellEnd"/>
      <w:r>
        <w:rPr>
          <w:rFonts w:ascii="Verdana" w:eastAsia="Verdana" w:hAnsi="Verdana" w:cs="Verdana"/>
        </w:rPr>
        <w:t xml:space="preserve"> z zawieszaną ramą TFC2. Dzięki unikalnemu systemowi prowadzenia nasion ASG (zero grawitacji), siewnik zapewnia maksymalną precyzję odkładania nasion w zakresie prędkości od 4 do 18 km/h. Pływająca, składana rama z szerokością roboczą 3 lub 3,5 m gwarantuje skuteczne kopiowanie terenu i wysoką zwrotność. Dodatkowo dostępna jest wersja z aplikacją nawozu (1350 l) i aplikatorami z kołem kopiującym.</w:t>
      </w:r>
    </w:p>
    <w:p w14:paraId="2730BB53" w14:textId="77777777" w:rsidR="003B005F" w:rsidRDefault="00000000">
      <w:pPr>
        <w:spacing w:before="240" w:after="240" w:line="276" w:lineRule="auto"/>
        <w:rPr>
          <w:rFonts w:ascii="Verdana" w:eastAsia="Verdana" w:hAnsi="Verdana" w:cs="Verdana"/>
        </w:rPr>
      </w:pPr>
      <w:proofErr w:type="spellStart"/>
      <w:r>
        <w:rPr>
          <w:rFonts w:ascii="Verdana" w:eastAsia="Verdana" w:hAnsi="Verdana" w:cs="Verdana"/>
          <w:b/>
        </w:rPr>
        <w:t>ValoTerra</w:t>
      </w:r>
      <w:proofErr w:type="spellEnd"/>
      <w:r>
        <w:rPr>
          <w:rFonts w:ascii="Verdana" w:eastAsia="Verdana" w:hAnsi="Verdana" w:cs="Verdana"/>
          <w:b/>
        </w:rPr>
        <w:t xml:space="preserve"> TFC2 </w:t>
      </w:r>
      <w:proofErr w:type="spellStart"/>
      <w:r>
        <w:rPr>
          <w:rFonts w:ascii="Verdana" w:eastAsia="Verdana" w:hAnsi="Verdana" w:cs="Verdana"/>
          <w:b/>
        </w:rPr>
        <w:t>Mixte</w:t>
      </w:r>
      <w:proofErr w:type="spellEnd"/>
      <w:r>
        <w:rPr>
          <w:rFonts w:ascii="Verdana" w:eastAsia="Verdana" w:hAnsi="Verdana" w:cs="Verdana"/>
        </w:rPr>
        <w:t xml:space="preserve"> umożliwia szybką zmianę konfiguracji z 12 na 8 rzędów (lub odwrotnie) w mniej niż 25 minut, bez konieczności demontażu elementów wysiewających. </w:t>
      </w:r>
      <w:proofErr w:type="spellStart"/>
      <w:r>
        <w:rPr>
          <w:rFonts w:ascii="Verdana" w:eastAsia="Verdana" w:hAnsi="Verdana" w:cs="Verdana"/>
        </w:rPr>
        <w:t>EasySlide</w:t>
      </w:r>
      <w:proofErr w:type="spellEnd"/>
      <w:r>
        <w:rPr>
          <w:rFonts w:ascii="Verdana" w:eastAsia="Verdana" w:hAnsi="Verdana" w:cs="Verdana"/>
        </w:rPr>
        <w:t xml:space="preserve"> i podnoszone sekcje robocze to ukłon w stronę rolników obsiewających różne typy upraw (np. rzepak i kukurydzę) jedną maszyną.</w:t>
      </w:r>
    </w:p>
    <w:p w14:paraId="138F2942" w14:textId="77777777" w:rsidR="003B005F" w:rsidRDefault="00000000">
      <w:pPr>
        <w:spacing w:before="240" w:after="240" w:line="276" w:lineRule="auto"/>
        <w:rPr>
          <w:rFonts w:ascii="Verdana" w:eastAsia="Verdana" w:hAnsi="Verdana" w:cs="Verdana"/>
        </w:rPr>
      </w:pPr>
      <w:proofErr w:type="spellStart"/>
      <w:r>
        <w:rPr>
          <w:rFonts w:ascii="Verdana" w:eastAsia="Verdana" w:hAnsi="Verdana" w:cs="Verdana"/>
          <w:b/>
        </w:rPr>
        <w:t>ValoTerra</w:t>
      </w:r>
      <w:proofErr w:type="spellEnd"/>
      <w:r>
        <w:rPr>
          <w:rFonts w:ascii="Verdana" w:eastAsia="Verdana" w:hAnsi="Verdana" w:cs="Verdana"/>
          <w:b/>
        </w:rPr>
        <w:t xml:space="preserve"> </w:t>
      </w:r>
      <w:proofErr w:type="spellStart"/>
      <w:r>
        <w:rPr>
          <w:rFonts w:ascii="Verdana" w:eastAsia="Verdana" w:hAnsi="Verdana" w:cs="Verdana"/>
          <w:b/>
        </w:rPr>
        <w:t>Rigid</w:t>
      </w:r>
      <w:proofErr w:type="spellEnd"/>
      <w:r>
        <w:rPr>
          <w:rFonts w:ascii="Verdana" w:eastAsia="Verdana" w:hAnsi="Verdana" w:cs="Verdana"/>
        </w:rPr>
        <w:t xml:space="preserve"> to kompaktowe rozwiązanie dla gospodarstw potrzebujących precyzji siewu na mniejszych areałach lub w warunkach wymagających pracy na sztywnej ramie. Dostępne od 4 do 6 rzędów, z pełną funkcjonalnością systemu </w:t>
      </w:r>
      <w:proofErr w:type="spellStart"/>
      <w:r>
        <w:rPr>
          <w:rFonts w:ascii="Verdana" w:eastAsia="Verdana" w:hAnsi="Verdana" w:cs="Verdana"/>
        </w:rPr>
        <w:t>SmartAccess</w:t>
      </w:r>
      <w:proofErr w:type="spellEnd"/>
      <w:r>
        <w:rPr>
          <w:rFonts w:ascii="Verdana" w:eastAsia="Verdana" w:hAnsi="Verdana" w:cs="Verdana"/>
        </w:rPr>
        <w:t xml:space="preserve">, </w:t>
      </w:r>
      <w:proofErr w:type="spellStart"/>
      <w:r>
        <w:rPr>
          <w:rFonts w:ascii="Verdana" w:eastAsia="Verdana" w:hAnsi="Verdana" w:cs="Verdana"/>
        </w:rPr>
        <w:t>Isobus</w:t>
      </w:r>
      <w:proofErr w:type="spellEnd"/>
      <w:r>
        <w:rPr>
          <w:rFonts w:ascii="Verdana" w:eastAsia="Verdana" w:hAnsi="Verdana" w:cs="Verdana"/>
        </w:rPr>
        <w:t xml:space="preserve"> </w:t>
      </w:r>
      <w:proofErr w:type="spellStart"/>
      <w:r>
        <w:rPr>
          <w:rFonts w:ascii="Verdana" w:eastAsia="Verdana" w:hAnsi="Verdana" w:cs="Verdana"/>
        </w:rPr>
        <w:t>SeedStar</w:t>
      </w:r>
      <w:proofErr w:type="spellEnd"/>
      <w:r>
        <w:rPr>
          <w:rFonts w:ascii="Verdana" w:eastAsia="Verdana" w:hAnsi="Verdana" w:cs="Verdana"/>
        </w:rPr>
        <w:t xml:space="preserve"> M i napędami 56V.</w:t>
      </w:r>
    </w:p>
    <w:p w14:paraId="762E951A" w14:textId="77777777" w:rsidR="003B005F" w:rsidRDefault="00000000">
      <w:pPr>
        <w:spacing w:before="240" w:after="240" w:line="276" w:lineRule="auto"/>
        <w:rPr>
          <w:rFonts w:ascii="Verdana" w:eastAsia="Verdana" w:hAnsi="Verdana" w:cs="Verdana"/>
        </w:rPr>
      </w:pPr>
      <w:r>
        <w:rPr>
          <w:rFonts w:ascii="Verdana" w:eastAsia="Verdana" w:hAnsi="Verdana" w:cs="Verdana"/>
          <w:b/>
        </w:rPr>
        <w:t xml:space="preserve">MS </w:t>
      </w:r>
      <w:proofErr w:type="spellStart"/>
      <w:r>
        <w:rPr>
          <w:rFonts w:ascii="Verdana" w:eastAsia="Verdana" w:hAnsi="Verdana" w:cs="Verdana"/>
          <w:b/>
        </w:rPr>
        <w:t>Electron</w:t>
      </w:r>
      <w:proofErr w:type="spellEnd"/>
      <w:r>
        <w:rPr>
          <w:rFonts w:ascii="Verdana" w:eastAsia="Verdana" w:hAnsi="Verdana" w:cs="Verdana"/>
        </w:rPr>
        <w:t xml:space="preserve"> to najnowszy model do upraw drobnonasiennych – wyposażony w niezależne napędy elektryczne, komórki zliczające </w:t>
      </w:r>
      <w:proofErr w:type="spellStart"/>
      <w:r>
        <w:rPr>
          <w:rFonts w:ascii="Verdana" w:eastAsia="Verdana" w:hAnsi="Verdana" w:cs="Verdana"/>
        </w:rPr>
        <w:t>SeedWatch</w:t>
      </w:r>
      <w:proofErr w:type="spellEnd"/>
      <w:r>
        <w:rPr>
          <w:rFonts w:ascii="Verdana" w:eastAsia="Verdana" w:hAnsi="Verdana" w:cs="Verdana"/>
        </w:rPr>
        <w:t xml:space="preserve"> Mini i system ISOBUS. To siewnik zoptymalizowany pod kątem warunków polowych warzywnictwa: z rozstawem od 20 cm, szerokością roboczą 3–3,5 m i precyzyjnym sterowaniem dawką </w:t>
      </w:r>
      <w:proofErr w:type="spellStart"/>
      <w:r>
        <w:rPr>
          <w:rFonts w:ascii="Verdana" w:eastAsia="Verdana" w:hAnsi="Verdana" w:cs="Verdana"/>
        </w:rPr>
        <w:t>mikrogranulatów</w:t>
      </w:r>
      <w:proofErr w:type="spellEnd"/>
      <w:r>
        <w:rPr>
          <w:rFonts w:ascii="Verdana" w:eastAsia="Verdana" w:hAnsi="Verdana" w:cs="Verdana"/>
        </w:rPr>
        <w:t>.</w:t>
      </w:r>
    </w:p>
    <w:p w14:paraId="741AF543" w14:textId="77777777" w:rsidR="003B005F" w:rsidRDefault="003B005F">
      <w:pPr>
        <w:spacing w:before="240" w:after="240" w:line="276" w:lineRule="auto"/>
        <w:rPr>
          <w:rFonts w:ascii="Verdana" w:eastAsia="Verdana" w:hAnsi="Verdana" w:cs="Verdana"/>
        </w:rPr>
      </w:pPr>
    </w:p>
    <w:p w14:paraId="493FFE0E" w14:textId="77777777" w:rsidR="003B005F" w:rsidRDefault="00000000">
      <w:pPr>
        <w:pStyle w:val="Nagwek3"/>
        <w:keepNext w:val="0"/>
        <w:keepLines w:val="0"/>
        <w:spacing w:before="280" w:after="80" w:line="276" w:lineRule="auto"/>
        <w:rPr>
          <w:rFonts w:ascii="Verdana" w:eastAsia="Verdana" w:hAnsi="Verdana" w:cs="Verdana"/>
          <w:b/>
          <w:color w:val="000000"/>
          <w:sz w:val="20"/>
          <w:szCs w:val="20"/>
        </w:rPr>
      </w:pPr>
      <w:bookmarkStart w:id="1" w:name="_heading=h.n6319go3qp2l" w:colFirst="0" w:colLast="0"/>
      <w:bookmarkEnd w:id="1"/>
      <w:r>
        <w:rPr>
          <w:rFonts w:ascii="Verdana" w:eastAsia="Verdana" w:hAnsi="Verdana" w:cs="Verdana"/>
          <w:b/>
          <w:color w:val="000000"/>
          <w:sz w:val="20"/>
          <w:szCs w:val="20"/>
        </w:rPr>
        <w:lastRenderedPageBreak/>
        <w:t>Zgrany duet z John Deere 6M i 6R</w:t>
      </w:r>
    </w:p>
    <w:p w14:paraId="37023C86" w14:textId="77777777" w:rsidR="003B005F" w:rsidRDefault="00000000">
      <w:pPr>
        <w:spacing w:before="240" w:after="240" w:line="276" w:lineRule="auto"/>
        <w:rPr>
          <w:rFonts w:ascii="Verdana" w:eastAsia="Verdana" w:hAnsi="Verdana" w:cs="Verdana"/>
        </w:rPr>
      </w:pPr>
      <w:r>
        <w:rPr>
          <w:rFonts w:ascii="Verdana" w:eastAsia="Verdana" w:hAnsi="Verdana" w:cs="Verdana"/>
        </w:rPr>
        <w:t xml:space="preserve">Ciągniki John Deere serii 6M i 6R zapewniają idealne warunki do pracy z siewnikami </w:t>
      </w:r>
      <w:proofErr w:type="spellStart"/>
      <w:r>
        <w:rPr>
          <w:rFonts w:ascii="Verdana" w:eastAsia="Verdana" w:hAnsi="Verdana" w:cs="Verdana"/>
        </w:rPr>
        <w:t>Monosem</w:t>
      </w:r>
      <w:proofErr w:type="spellEnd"/>
      <w:r>
        <w:rPr>
          <w:rFonts w:ascii="Verdana" w:eastAsia="Verdana" w:hAnsi="Verdana" w:cs="Verdana"/>
        </w:rPr>
        <w:t xml:space="preserve">. Model </w:t>
      </w:r>
      <w:r>
        <w:rPr>
          <w:rFonts w:ascii="Verdana" w:eastAsia="Verdana" w:hAnsi="Verdana" w:cs="Verdana"/>
          <w:b/>
        </w:rPr>
        <w:t>6M</w:t>
      </w:r>
      <w:r>
        <w:rPr>
          <w:rFonts w:ascii="Verdana" w:eastAsia="Verdana" w:hAnsi="Verdana" w:cs="Verdana"/>
        </w:rPr>
        <w:t xml:space="preserve"> (95–195 KM) to maszyna kompaktowa, zwrotna i wystarczająco mocna, by pracować z lżejszymi konfiguracjami </w:t>
      </w:r>
      <w:proofErr w:type="spellStart"/>
      <w:r>
        <w:rPr>
          <w:rFonts w:ascii="Verdana" w:eastAsia="Verdana" w:hAnsi="Verdana" w:cs="Verdana"/>
        </w:rPr>
        <w:t>ValoTerra</w:t>
      </w:r>
      <w:proofErr w:type="spellEnd"/>
      <w:r>
        <w:rPr>
          <w:rFonts w:ascii="Verdana" w:eastAsia="Verdana" w:hAnsi="Verdana" w:cs="Verdana"/>
        </w:rPr>
        <w:t xml:space="preserve"> i MS </w:t>
      </w:r>
      <w:proofErr w:type="spellStart"/>
      <w:r>
        <w:rPr>
          <w:rFonts w:ascii="Verdana" w:eastAsia="Verdana" w:hAnsi="Verdana" w:cs="Verdana"/>
        </w:rPr>
        <w:t>Electron</w:t>
      </w:r>
      <w:proofErr w:type="spellEnd"/>
      <w:r>
        <w:rPr>
          <w:rFonts w:ascii="Verdana" w:eastAsia="Verdana" w:hAnsi="Verdana" w:cs="Verdana"/>
        </w:rPr>
        <w:t xml:space="preserve"> na polach o mniejszej powierzchni.</w:t>
      </w:r>
    </w:p>
    <w:p w14:paraId="6BD8A78F" w14:textId="77777777" w:rsidR="003B005F" w:rsidRDefault="00000000">
      <w:pPr>
        <w:spacing w:before="240" w:after="240" w:line="276" w:lineRule="auto"/>
        <w:rPr>
          <w:rFonts w:ascii="Verdana" w:eastAsia="Verdana" w:hAnsi="Verdana" w:cs="Verdana"/>
        </w:rPr>
      </w:pPr>
      <w:r w:rsidRPr="00546834">
        <w:rPr>
          <w:rFonts w:ascii="Verdana" w:eastAsia="Verdana" w:hAnsi="Verdana" w:cs="Verdana"/>
          <w:lang w:val="en-US"/>
        </w:rPr>
        <w:t xml:space="preserve">Z </w:t>
      </w:r>
      <w:proofErr w:type="spellStart"/>
      <w:r w:rsidRPr="00546834">
        <w:rPr>
          <w:rFonts w:ascii="Verdana" w:eastAsia="Verdana" w:hAnsi="Verdana" w:cs="Verdana"/>
          <w:lang w:val="en-US"/>
        </w:rPr>
        <w:t>kolei</w:t>
      </w:r>
      <w:proofErr w:type="spellEnd"/>
      <w:r w:rsidRPr="00546834">
        <w:rPr>
          <w:rFonts w:ascii="Verdana" w:eastAsia="Verdana" w:hAnsi="Verdana" w:cs="Verdana"/>
          <w:lang w:val="en-US"/>
        </w:rPr>
        <w:t xml:space="preserve"> </w:t>
      </w:r>
      <w:r w:rsidRPr="00546834">
        <w:rPr>
          <w:rFonts w:ascii="Verdana" w:eastAsia="Verdana" w:hAnsi="Verdana" w:cs="Verdana"/>
          <w:b/>
          <w:lang w:val="en-US"/>
        </w:rPr>
        <w:t>John Deere 6R</w:t>
      </w:r>
      <w:r w:rsidRPr="00546834">
        <w:rPr>
          <w:rFonts w:ascii="Verdana" w:eastAsia="Verdana" w:hAnsi="Verdana" w:cs="Verdana"/>
          <w:lang w:val="en-US"/>
        </w:rPr>
        <w:t xml:space="preserve"> (</w:t>
      </w:r>
      <w:proofErr w:type="spellStart"/>
      <w:r w:rsidRPr="00546834">
        <w:rPr>
          <w:rFonts w:ascii="Verdana" w:eastAsia="Verdana" w:hAnsi="Verdana" w:cs="Verdana"/>
          <w:lang w:val="en-US"/>
        </w:rPr>
        <w:t>maks</w:t>
      </w:r>
      <w:proofErr w:type="spellEnd"/>
      <w:r w:rsidRPr="00546834">
        <w:rPr>
          <w:rFonts w:ascii="Verdana" w:eastAsia="Verdana" w:hAnsi="Verdana" w:cs="Verdana"/>
          <w:lang w:val="en-US"/>
        </w:rPr>
        <w:t xml:space="preserve">. </w:t>
      </w:r>
      <w:r>
        <w:rPr>
          <w:rFonts w:ascii="Verdana" w:eastAsia="Verdana" w:hAnsi="Verdana" w:cs="Verdana"/>
        </w:rPr>
        <w:t xml:space="preserve">300 KM) to ciągnik stworzony z myślą o precyzji. Systemy </w:t>
      </w:r>
      <w:proofErr w:type="spellStart"/>
      <w:r>
        <w:rPr>
          <w:rFonts w:ascii="Verdana" w:eastAsia="Verdana" w:hAnsi="Verdana" w:cs="Verdana"/>
        </w:rPr>
        <w:t>AutoTrac</w:t>
      </w:r>
      <w:proofErr w:type="spellEnd"/>
      <w:r>
        <w:rPr>
          <w:rFonts w:ascii="Verdana" w:eastAsia="Verdana" w:hAnsi="Verdana" w:cs="Verdana"/>
        </w:rPr>
        <w:t xml:space="preserve">, </w:t>
      </w:r>
      <w:proofErr w:type="spellStart"/>
      <w:r>
        <w:rPr>
          <w:rFonts w:ascii="Verdana" w:eastAsia="Verdana" w:hAnsi="Verdana" w:cs="Verdana"/>
        </w:rPr>
        <w:t>CommandCenter</w:t>
      </w:r>
      <w:proofErr w:type="spellEnd"/>
      <w:r>
        <w:rPr>
          <w:rFonts w:ascii="Verdana" w:eastAsia="Verdana" w:hAnsi="Verdana" w:cs="Verdana"/>
        </w:rPr>
        <w:t xml:space="preserve"> i </w:t>
      </w:r>
      <w:proofErr w:type="spellStart"/>
      <w:r>
        <w:rPr>
          <w:rFonts w:ascii="Verdana" w:eastAsia="Verdana" w:hAnsi="Verdana" w:cs="Verdana"/>
        </w:rPr>
        <w:t>Section</w:t>
      </w:r>
      <w:proofErr w:type="spellEnd"/>
      <w:r>
        <w:rPr>
          <w:rFonts w:ascii="Verdana" w:eastAsia="Verdana" w:hAnsi="Verdana" w:cs="Verdana"/>
        </w:rPr>
        <w:t xml:space="preserve"> Control umożliwiają prowadzenie po mapach aplikacyjnych i sterowanie zmiennym dawkowaniem. ISOBUS i kompatybilność z narzędziami </w:t>
      </w:r>
      <w:proofErr w:type="spellStart"/>
      <w:r>
        <w:rPr>
          <w:rFonts w:ascii="Verdana" w:eastAsia="Verdana" w:hAnsi="Verdana" w:cs="Verdana"/>
        </w:rPr>
        <w:t>Monosem</w:t>
      </w:r>
      <w:proofErr w:type="spellEnd"/>
      <w:r>
        <w:rPr>
          <w:rFonts w:ascii="Verdana" w:eastAsia="Verdana" w:hAnsi="Verdana" w:cs="Verdana"/>
        </w:rPr>
        <w:t xml:space="preserve"> to gwarancja pełnego przepływu danych.</w:t>
      </w:r>
    </w:p>
    <w:p w14:paraId="71A112B4" w14:textId="77777777" w:rsidR="003B005F" w:rsidRDefault="00000000">
      <w:pPr>
        <w:spacing w:before="240" w:after="240" w:line="276" w:lineRule="auto"/>
        <w:rPr>
          <w:rFonts w:ascii="Verdana" w:eastAsia="Verdana" w:hAnsi="Verdana" w:cs="Verdana"/>
        </w:rPr>
      </w:pPr>
      <w:r>
        <w:rPr>
          <w:rFonts w:ascii="Verdana" w:eastAsia="Verdana" w:hAnsi="Verdana" w:cs="Verdana"/>
        </w:rPr>
        <w:t>Dzięki platformie Operations Center wszystkie dane z zabiegów są automatycznie zapisywane i gotowe do dalszej analizy. Pozwala to na zarządzanie zasobami gleby i nawożeniem w oparciu o dane, a nie przypuszczenia.</w:t>
      </w:r>
    </w:p>
    <w:p w14:paraId="4B578A09" w14:textId="77777777" w:rsidR="003B005F" w:rsidRDefault="003B005F">
      <w:pPr>
        <w:spacing w:before="240" w:after="240" w:line="276" w:lineRule="auto"/>
        <w:rPr>
          <w:rFonts w:ascii="Verdana" w:eastAsia="Verdana" w:hAnsi="Verdana" w:cs="Verdana"/>
        </w:rPr>
      </w:pPr>
    </w:p>
    <w:p w14:paraId="785764D7" w14:textId="77777777" w:rsidR="003B005F" w:rsidRDefault="00000000">
      <w:pPr>
        <w:pStyle w:val="Nagwek3"/>
        <w:keepNext w:val="0"/>
        <w:keepLines w:val="0"/>
        <w:spacing w:before="280" w:after="80" w:line="276" w:lineRule="auto"/>
        <w:rPr>
          <w:rFonts w:ascii="Verdana" w:eastAsia="Verdana" w:hAnsi="Verdana" w:cs="Verdana"/>
          <w:b/>
          <w:color w:val="000000"/>
          <w:sz w:val="20"/>
          <w:szCs w:val="20"/>
        </w:rPr>
      </w:pPr>
      <w:bookmarkStart w:id="2" w:name="_heading=h.b355wkugt6rm" w:colFirst="0" w:colLast="0"/>
      <w:bookmarkEnd w:id="2"/>
      <w:r>
        <w:rPr>
          <w:rFonts w:ascii="Verdana" w:eastAsia="Verdana" w:hAnsi="Verdana" w:cs="Verdana"/>
          <w:b/>
          <w:color w:val="000000"/>
          <w:sz w:val="20"/>
          <w:szCs w:val="20"/>
        </w:rPr>
        <w:t>Po żniwach: liczy się każda decyzja</w:t>
      </w:r>
    </w:p>
    <w:p w14:paraId="4BC489AF" w14:textId="77777777" w:rsidR="003B005F" w:rsidRDefault="00000000">
      <w:pPr>
        <w:spacing w:before="240" w:after="240" w:line="276" w:lineRule="auto"/>
        <w:rPr>
          <w:rFonts w:ascii="Verdana" w:eastAsia="Verdana" w:hAnsi="Verdana" w:cs="Verdana"/>
        </w:rPr>
      </w:pPr>
      <w:r>
        <w:rPr>
          <w:rFonts w:ascii="Verdana" w:eastAsia="Verdana" w:hAnsi="Verdana" w:cs="Verdana"/>
        </w:rPr>
        <w:t>Okres pożniwny to najlepszy moment na wykonanie prób glebowych, wapnowanie i wysiew poplonów. Jak podkreślają eksperci, regeneracja gleby nie może czekać – gleba potrzebuje czasu, by odbudować zasoby wapnia, fosforu i azotu. Szybkie rozpoczęcie działań agrotechnicznych zwiększa szanse na zatrzymanie wilgoci, poprawę struktury gleby i zmniejszenie strat składników odżywczych.</w:t>
      </w:r>
    </w:p>
    <w:p w14:paraId="4DE2E8E6" w14:textId="77777777" w:rsidR="003B005F" w:rsidRDefault="00000000">
      <w:pPr>
        <w:spacing w:before="240" w:after="240" w:line="276" w:lineRule="auto"/>
        <w:rPr>
          <w:rFonts w:ascii="Verdana" w:eastAsia="Verdana" w:hAnsi="Verdana" w:cs="Verdana"/>
        </w:rPr>
      </w:pPr>
      <w:r>
        <w:rPr>
          <w:rFonts w:ascii="Verdana" w:eastAsia="Verdana" w:hAnsi="Verdana" w:cs="Verdana"/>
        </w:rPr>
        <w:t xml:space="preserve">Dzięki precyzyjnym siewnikom </w:t>
      </w:r>
      <w:proofErr w:type="spellStart"/>
      <w:r>
        <w:rPr>
          <w:rFonts w:ascii="Verdana" w:eastAsia="Verdana" w:hAnsi="Verdana" w:cs="Verdana"/>
        </w:rPr>
        <w:t>Monosem</w:t>
      </w:r>
      <w:proofErr w:type="spellEnd"/>
      <w:r>
        <w:rPr>
          <w:rFonts w:ascii="Verdana" w:eastAsia="Verdana" w:hAnsi="Verdana" w:cs="Verdana"/>
        </w:rPr>
        <w:t xml:space="preserve"> i nowoczesnym ciągnikom John Deere, każdy dzień po żniwach może być wykorzystany maksymalnie efektywnie – z myślą o przyszłorocznych plonach, żyzności gleby i opłacalności gospodarowania.</w:t>
      </w:r>
    </w:p>
    <w:p w14:paraId="150D8FBB" w14:textId="2D51ABA6" w:rsidR="003B005F" w:rsidRDefault="00000000">
      <w:pPr>
        <w:spacing w:before="240" w:after="240" w:line="276" w:lineRule="auto"/>
        <w:rPr>
          <w:rFonts w:ascii="Verdana" w:eastAsia="Verdana" w:hAnsi="Verdana" w:cs="Verdana"/>
          <w:i/>
        </w:rPr>
      </w:pPr>
      <w:r>
        <w:rPr>
          <w:rFonts w:ascii="Verdana" w:eastAsia="Verdana" w:hAnsi="Verdana" w:cs="Verdana"/>
        </w:rPr>
        <w:t xml:space="preserve">– </w:t>
      </w:r>
      <w:r>
        <w:rPr>
          <w:rFonts w:ascii="Verdana" w:eastAsia="Verdana" w:hAnsi="Verdana" w:cs="Verdana"/>
          <w:i/>
        </w:rPr>
        <w:t xml:space="preserve">Jesień to moment, w którym odpowiedni sprzęt pozwala realnie wpływać na plonowanie kolejnego sezonu – </w:t>
      </w:r>
      <w:r w:rsidRPr="00A04123">
        <w:rPr>
          <w:rFonts w:ascii="Verdana" w:eastAsia="Verdana" w:hAnsi="Verdana" w:cs="Verdana"/>
          <w:iCs/>
        </w:rPr>
        <w:t xml:space="preserve">mówi </w:t>
      </w:r>
      <w:r w:rsidR="00546834" w:rsidRPr="00A04123">
        <w:rPr>
          <w:rFonts w:ascii="Verdana" w:eastAsia="Verdana" w:hAnsi="Verdana" w:cs="Verdana"/>
          <w:b/>
          <w:iCs/>
        </w:rPr>
        <w:t>Kamil Walkiewicz</w:t>
      </w:r>
      <w:r w:rsidRPr="00A04123">
        <w:rPr>
          <w:rFonts w:ascii="Verdana" w:eastAsia="Verdana" w:hAnsi="Verdana" w:cs="Verdana"/>
          <w:b/>
          <w:iCs/>
        </w:rPr>
        <w:t xml:space="preserve">, Product Sales </w:t>
      </w:r>
      <w:proofErr w:type="spellStart"/>
      <w:r w:rsidRPr="00A04123">
        <w:rPr>
          <w:rFonts w:ascii="Verdana" w:eastAsia="Verdana" w:hAnsi="Verdana" w:cs="Verdana"/>
          <w:b/>
          <w:iCs/>
        </w:rPr>
        <w:t>Specialist</w:t>
      </w:r>
      <w:proofErr w:type="spellEnd"/>
      <w:r w:rsidRPr="00A04123">
        <w:rPr>
          <w:rFonts w:ascii="Verdana" w:eastAsia="Verdana" w:hAnsi="Verdana" w:cs="Verdana"/>
          <w:b/>
          <w:iCs/>
        </w:rPr>
        <w:t xml:space="preserve">, John </w:t>
      </w:r>
      <w:proofErr w:type="spellStart"/>
      <w:r w:rsidRPr="00A04123">
        <w:rPr>
          <w:rFonts w:ascii="Verdana" w:eastAsia="Verdana" w:hAnsi="Verdana" w:cs="Verdana"/>
          <w:b/>
          <w:iCs/>
        </w:rPr>
        <w:t>Deere</w:t>
      </w:r>
      <w:proofErr w:type="spellEnd"/>
      <w:r w:rsidRPr="00A04123">
        <w:rPr>
          <w:rFonts w:ascii="Verdana" w:eastAsia="Verdana" w:hAnsi="Verdana" w:cs="Verdana"/>
          <w:b/>
          <w:iCs/>
        </w:rPr>
        <w:t xml:space="preserve"> Polska</w:t>
      </w:r>
      <w:r w:rsidRPr="00A04123">
        <w:rPr>
          <w:rFonts w:ascii="Verdana" w:eastAsia="Verdana" w:hAnsi="Verdana" w:cs="Verdana"/>
          <w:iCs/>
        </w:rPr>
        <w:t>.</w:t>
      </w:r>
      <w:r>
        <w:rPr>
          <w:rFonts w:ascii="Verdana" w:eastAsia="Verdana" w:hAnsi="Verdana" w:cs="Verdana"/>
          <w:i/>
        </w:rPr>
        <w:t xml:space="preserve"> – Siew poplonów i nawożenie wykonane szybko, precyzyjnie i z dokumentacją to inwestycja w strukturę gleby, zasobność składników i odporność na czynniki stresowe. Coraz więcej rolników korzysta z rozwiązań, które wspierają ich decyzje nie tylko teraz, ale i w dłuższej perspektywie.</w:t>
      </w:r>
    </w:p>
    <w:p w14:paraId="444FBA0C" w14:textId="77777777" w:rsidR="003B005F" w:rsidRDefault="003B005F">
      <w:pPr>
        <w:spacing w:before="240" w:after="240" w:line="276" w:lineRule="auto"/>
        <w:rPr>
          <w:rFonts w:ascii="Verdana" w:eastAsia="Verdana" w:hAnsi="Verdana" w:cs="Verdana"/>
          <w:b/>
          <w:color w:val="008000"/>
          <w:sz w:val="22"/>
          <w:szCs w:val="22"/>
        </w:rPr>
      </w:pPr>
    </w:p>
    <w:p w14:paraId="41A13247" w14:textId="77777777" w:rsidR="003B005F" w:rsidRDefault="003B005F">
      <w:pPr>
        <w:spacing w:line="298" w:lineRule="auto"/>
        <w:jc w:val="both"/>
        <w:rPr>
          <w:rFonts w:ascii="Verdana" w:eastAsia="Verdana" w:hAnsi="Verdana" w:cs="Verdana"/>
        </w:rPr>
      </w:pPr>
    </w:p>
    <w:p w14:paraId="6012B86A" w14:textId="77777777" w:rsidR="003B005F" w:rsidRDefault="00000000">
      <w:pPr>
        <w:spacing w:line="276" w:lineRule="auto"/>
        <w:jc w:val="both"/>
        <w:rPr>
          <w:rFonts w:ascii="Verdana" w:eastAsia="Verdana" w:hAnsi="Verdana" w:cs="Verdana"/>
          <w:color w:val="000000"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hidden="0" allowOverlap="1" wp14:anchorId="6FEA2A0E" wp14:editId="055C5081">
                <wp:simplePos x="0" y="0"/>
                <wp:positionH relativeFrom="column">
                  <wp:posOffset>1</wp:posOffset>
                </wp:positionH>
                <wp:positionV relativeFrom="paragraph">
                  <wp:posOffset>0</wp:posOffset>
                </wp:positionV>
                <wp:extent cx="2819400" cy="349250"/>
                <wp:effectExtent l="0" t="0" r="0" b="0"/>
                <wp:wrapNone/>
                <wp:docPr id="32" name="Flowchart: Alternate Process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974400" y="3643475"/>
                          <a:ext cx="2743200" cy="273050"/>
                        </a:xfrm>
                        <a:prstGeom prst="flowChartAlternateProcess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7F8697A4" w14:textId="77777777" w:rsidR="003B005F" w:rsidRDefault="00000000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rFonts w:ascii="Verdana" w:eastAsia="Verdana" w:hAnsi="Verdana" w:cs="Verdana"/>
                                <w:b/>
                                <w:color w:val="FFFFFF"/>
                                <w:sz w:val="24"/>
                                <w:u w:val="single"/>
                              </w:rPr>
                              <w:t>STRONA WWW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FEA2A0E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Flowchart: Alternate Process 32" o:spid="_x0000_s1026" type="#_x0000_t176" style="position:absolute;left:0;text-align:left;margin-left:0;margin-top:0;width:222pt;height:27.5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jE5/2wEAAJgDAAAOAAAAZHJzL2Uyb0RvYy54bWysU8Fu2zAMvQ/YPwi6L3Ycp1mNOEWXIsOA&#10;Yg3Q7QNkWYoFyJJGKbHz96PkrMm227CLTIrk0+MjvX4Ye01OAryypqbzWU6JMNy2yhxq+v3b7sNH&#10;SnxgpmXaGlHTs/D0YfP+3XpwlShsZ3UrgCCI8dXgatqF4Kos87wTPfMz64TBoLTQs4AuHLIW2IDo&#10;vc6KPL/LBgutA8uF93j7NAXpJuFLKXh4kdKLQHRNkVtIJ6SziWe2WbPqAMx1il9osH9g0TNl8NE3&#10;qCcWGDmC+guqVxystzLMuO0zK6XiIvWA3czzP7p57ZgTqRcUx7s3mfz/g+VfT69uDyjD4Hzl0Yxd&#10;jBL6+EV+ZKzp4n5VljnKd0b7rlyUq+UknBgD4ZhQrMoFToMSjhnFapEvk7LZFcmBD5+F7Uk0aiq1&#10;HbYdg/CogwDDgthPM0wistOzD0gJ63/VRTbeatXulNbJgUOz1UBOLE42/3R98rc0bWKysbFsQow3&#10;2bXZaIWxGS8KNLY974F4x3cKmT4zH/YMcCXmlAy4JjX1P44MBCX6i8E53M/LYol7lZxyuYoiwG2k&#10;uY0wwzuL2xcomcxtSLs4cXw8BitVajyymqhcyOL4kx6XVY37deunrOsPtfkJAAD//wMAUEsDBBQA&#10;BgAIAAAAIQAsz4b02gAAAAQBAAAPAAAAZHJzL2Rvd25yZXYueG1sTI/NTsMwEITvSLyDtUjcqEOV&#10;oijNpgIqfk6VKDyAG2+TKPE6ip028PQsXOAy0mhWM98Wm9n16kRjaD0j3C4SUMSVty3XCB/vTzcZ&#10;qBANW9N7JoRPCrApLy8Kk1t/5jc67WOtpIRDbhCaGIdc61A15ExY+IFYsqMfnYlix1rb0Zyl3PV6&#10;mSR32pmWZaExAz02VHX7ySGk3cv2NSyfd7tBf9lsm03dQ0uI11fz/RpUpDn+HcMPvqBDKUwHP7EN&#10;qkeQR+KvSpamqdgDwmqVgC4L/R++/AYAAP//AwBQSwECLQAUAAYACAAAACEAtoM4kv4AAADhAQAA&#10;EwAAAAAAAAAAAAAAAAAAAAAAW0NvbnRlbnRfVHlwZXNdLnhtbFBLAQItABQABgAIAAAAIQA4/SH/&#10;1gAAAJQBAAALAAAAAAAAAAAAAAAAAC8BAABfcmVscy8ucmVsc1BLAQItABQABgAIAAAAIQAMjE5/&#10;2wEAAJgDAAAOAAAAAAAAAAAAAAAAAC4CAABkcnMvZTJvRG9jLnhtbFBLAQItABQABgAIAAAAIQAs&#10;z4b02gAAAAQBAAAPAAAAAAAAAAAAAAAAADUEAABkcnMvZG93bnJldi54bWxQSwUGAAAAAAQABADz&#10;AAAAPAUAAAAA&#10;" fillcolor="#00b050" stroked="f">
                <v:textbox inset="2.53958mm,1.2694mm,2.53958mm,1.2694mm">
                  <w:txbxContent>
                    <w:p w14:paraId="7F8697A4" w14:textId="77777777" w:rsidR="003B005F" w:rsidRDefault="00000000">
                      <w:pPr>
                        <w:jc w:val="center"/>
                        <w:textDirection w:val="btLr"/>
                      </w:pPr>
                      <w:r>
                        <w:rPr>
                          <w:rFonts w:ascii="Verdana" w:eastAsia="Verdana" w:hAnsi="Verdana" w:cs="Verdana"/>
                          <w:b/>
                          <w:color w:val="FFFFFF"/>
                          <w:sz w:val="24"/>
                          <w:u w:val="single"/>
                        </w:rPr>
                        <w:t>STRONA WWW</w:t>
                      </w:r>
                    </w:p>
                  </w:txbxContent>
                </v:textbox>
              </v:shape>
            </w:pict>
          </mc:Fallback>
        </mc:AlternateContent>
      </w:r>
    </w:p>
    <w:p w14:paraId="4939A68E" w14:textId="77777777" w:rsidR="003B005F" w:rsidRDefault="003B005F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Verdana" w:eastAsia="Verdana" w:hAnsi="Verdana" w:cs="Verdana"/>
          <w:color w:val="000000"/>
        </w:rPr>
      </w:pPr>
    </w:p>
    <w:p w14:paraId="43B76C94" w14:textId="77777777" w:rsidR="003B005F" w:rsidRDefault="003B005F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Verdana" w:eastAsia="Verdana" w:hAnsi="Verdana" w:cs="Verdana"/>
          <w:color w:val="000000"/>
        </w:rPr>
      </w:pPr>
    </w:p>
    <w:p w14:paraId="6ECD3F2E" w14:textId="77777777" w:rsidR="003B005F" w:rsidRPr="00546834" w:rsidRDefault="00000000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Verdana" w:eastAsia="Verdana" w:hAnsi="Verdana" w:cs="Verdana"/>
          <w:color w:val="000000"/>
          <w:lang w:val="en-US"/>
        </w:rPr>
      </w:pPr>
      <w:r w:rsidRPr="00546834">
        <w:rPr>
          <w:rFonts w:ascii="Verdana" w:eastAsia="Verdana" w:hAnsi="Verdana" w:cs="Verdana"/>
          <w:color w:val="000000"/>
          <w:lang w:val="en-US"/>
        </w:rPr>
        <w:t>John Deere w social media:</w:t>
      </w:r>
    </w:p>
    <w:p w14:paraId="52FDCA9C" w14:textId="77777777" w:rsidR="003B005F" w:rsidRPr="00546834" w:rsidRDefault="00000000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Verdana" w:eastAsia="Verdana" w:hAnsi="Verdana" w:cs="Verdana"/>
          <w:color w:val="000000"/>
          <w:lang w:val="en-US"/>
        </w:rPr>
      </w:pPr>
      <w:r w:rsidRPr="00546834">
        <w:rPr>
          <w:rFonts w:ascii="Verdana" w:eastAsia="Verdana" w:hAnsi="Verdana" w:cs="Verdana"/>
          <w:color w:val="000000"/>
          <w:lang w:val="en-US"/>
        </w:rPr>
        <w:t xml:space="preserve"> </w:t>
      </w:r>
      <w:r>
        <w:rPr>
          <w:noProof/>
        </w:rPr>
        <w:drawing>
          <wp:anchor distT="0" distB="0" distL="114300" distR="114300" simplePos="0" relativeHeight="251659264" behindDoc="0" locked="0" layoutInCell="1" hidden="0" allowOverlap="1" wp14:anchorId="41890A41" wp14:editId="415B2B97">
            <wp:simplePos x="0" y="0"/>
            <wp:positionH relativeFrom="column">
              <wp:posOffset>476250</wp:posOffset>
            </wp:positionH>
            <wp:positionV relativeFrom="paragraph">
              <wp:posOffset>79375</wp:posOffset>
            </wp:positionV>
            <wp:extent cx="590400" cy="266400"/>
            <wp:effectExtent l="0" t="0" r="0" b="0"/>
            <wp:wrapSquare wrapText="bothSides" distT="0" distB="0" distL="114300" distR="114300"/>
            <wp:docPr id="33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0400" cy="2664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0288" behindDoc="0" locked="0" layoutInCell="1" hidden="0" allowOverlap="1" wp14:anchorId="61A420BC" wp14:editId="7088C72D">
            <wp:simplePos x="0" y="0"/>
            <wp:positionH relativeFrom="column">
              <wp:posOffset>28583</wp:posOffset>
            </wp:positionH>
            <wp:positionV relativeFrom="paragraph">
              <wp:posOffset>66040</wp:posOffset>
            </wp:positionV>
            <wp:extent cx="266400" cy="270000"/>
            <wp:effectExtent l="0" t="0" r="0" b="0"/>
            <wp:wrapSquare wrapText="bothSides" distT="0" distB="0" distL="114300" distR="114300"/>
            <wp:docPr id="35" name="image2.png" descr="C:\Users\Daria\AppData\Local\Microsoft\Windows\INetCache\IE\6XJ0ITW1\Facebook_icon_2013.svg[1]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 descr="C:\Users\Daria\AppData\Local\Microsoft\Windows\INetCache\IE\6XJ0ITW1\Facebook_icon_2013.svg[1].png"/>
                    <pic:cNvPicPr preferRelativeResize="0"/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66400" cy="2700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6D52A919" w14:textId="77777777" w:rsidR="003B005F" w:rsidRPr="00546834" w:rsidRDefault="003B005F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Verdana" w:eastAsia="Verdana" w:hAnsi="Verdana" w:cs="Verdana"/>
          <w:color w:val="000000"/>
          <w:lang w:val="en-US"/>
        </w:rPr>
      </w:pPr>
    </w:p>
    <w:p w14:paraId="172E098A" w14:textId="77777777" w:rsidR="003B005F" w:rsidRPr="00546834" w:rsidRDefault="003B005F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Verdana" w:eastAsia="Verdana" w:hAnsi="Verdana" w:cs="Verdana"/>
          <w:color w:val="000000"/>
          <w:lang w:val="en-US"/>
        </w:rPr>
      </w:pPr>
    </w:p>
    <w:p w14:paraId="5C30A482" w14:textId="77777777" w:rsidR="003B005F" w:rsidRDefault="00000000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Verdana" w:eastAsia="Verdana" w:hAnsi="Verdana" w:cs="Verdana"/>
          <w:color w:val="000000"/>
        </w:rPr>
      </w:pPr>
      <w:proofErr w:type="spellStart"/>
      <w:r>
        <w:rPr>
          <w:rFonts w:ascii="Verdana" w:eastAsia="Verdana" w:hAnsi="Verdana" w:cs="Verdana"/>
          <w:color w:val="000000"/>
        </w:rPr>
        <w:lastRenderedPageBreak/>
        <w:t>Hashtagi</w:t>
      </w:r>
      <w:proofErr w:type="spellEnd"/>
      <w:r>
        <w:rPr>
          <w:rFonts w:ascii="Verdana" w:eastAsia="Verdana" w:hAnsi="Verdana" w:cs="Verdana"/>
          <w:color w:val="000000"/>
        </w:rPr>
        <w:t xml:space="preserve">: #johndeere #rolnictwo </w:t>
      </w:r>
    </w:p>
    <w:p w14:paraId="512403F7" w14:textId="77777777" w:rsidR="003B005F" w:rsidRDefault="00000000">
      <w:pPr>
        <w:pBdr>
          <w:top w:val="nil"/>
          <w:left w:val="nil"/>
          <w:bottom w:val="nil"/>
          <w:right w:val="nil"/>
          <w:between w:val="nil"/>
        </w:pBdr>
        <w:spacing w:before="280" w:after="280" w:line="276" w:lineRule="auto"/>
        <w:jc w:val="both"/>
        <w:rPr>
          <w:rFonts w:ascii="Verdana" w:eastAsia="Verdana" w:hAnsi="Verdana" w:cs="Verdana"/>
          <w:b/>
          <w:color w:val="008000"/>
        </w:rPr>
      </w:pPr>
      <w:r>
        <w:rPr>
          <w:rFonts w:ascii="Verdana" w:eastAsia="Verdana" w:hAnsi="Verdana" w:cs="Verdana"/>
          <w:b/>
          <w:color w:val="008000"/>
        </w:rPr>
        <w:t>************************************************************</w:t>
      </w:r>
    </w:p>
    <w:p w14:paraId="6DB8F46B" w14:textId="77777777" w:rsidR="003B005F" w:rsidRDefault="00000000">
      <w:pPr>
        <w:spacing w:line="276" w:lineRule="auto"/>
        <w:ind w:left="5040" w:firstLine="720"/>
        <w:jc w:val="right"/>
        <w:rPr>
          <w:rFonts w:ascii="Verdana" w:eastAsia="Verdana" w:hAnsi="Verdana" w:cs="Verdana"/>
          <w:b/>
          <w:sz w:val="18"/>
          <w:szCs w:val="18"/>
        </w:rPr>
      </w:pPr>
      <w:r>
        <w:rPr>
          <w:rFonts w:ascii="Verdana" w:eastAsia="Verdana" w:hAnsi="Verdana" w:cs="Verdana"/>
          <w:b/>
          <w:sz w:val="18"/>
          <w:szCs w:val="18"/>
        </w:rPr>
        <w:t>Więcej informacji:</w:t>
      </w:r>
    </w:p>
    <w:p w14:paraId="6B8596F8" w14:textId="77777777" w:rsidR="003B005F" w:rsidRDefault="003B005F">
      <w:pPr>
        <w:spacing w:line="276" w:lineRule="auto"/>
        <w:jc w:val="right"/>
        <w:rPr>
          <w:rFonts w:ascii="Verdana" w:eastAsia="Verdana" w:hAnsi="Verdana" w:cs="Verdana"/>
          <w:b/>
          <w:sz w:val="18"/>
          <w:szCs w:val="18"/>
        </w:rPr>
      </w:pPr>
    </w:p>
    <w:p w14:paraId="7EFD89B9" w14:textId="77777777" w:rsidR="003B005F" w:rsidRDefault="00000000">
      <w:pPr>
        <w:spacing w:line="276" w:lineRule="auto"/>
        <w:ind w:left="5760"/>
        <w:jc w:val="right"/>
        <w:rPr>
          <w:rFonts w:ascii="Verdana" w:eastAsia="Verdana" w:hAnsi="Verdana" w:cs="Verdana"/>
          <w:b/>
          <w:color w:val="008000"/>
          <w:sz w:val="18"/>
          <w:szCs w:val="18"/>
        </w:rPr>
      </w:pPr>
      <w:r>
        <w:rPr>
          <w:rFonts w:ascii="Verdana" w:eastAsia="Verdana" w:hAnsi="Verdana" w:cs="Verdana"/>
          <w:b/>
          <w:color w:val="008000"/>
          <w:sz w:val="18"/>
          <w:szCs w:val="18"/>
        </w:rPr>
        <w:t>Bartosz Białas</w:t>
      </w:r>
    </w:p>
    <w:p w14:paraId="5F99721F" w14:textId="77777777" w:rsidR="003B005F" w:rsidRDefault="00000000">
      <w:pPr>
        <w:spacing w:line="276" w:lineRule="auto"/>
        <w:jc w:val="right"/>
        <w:rPr>
          <w:rFonts w:ascii="Verdana" w:eastAsia="Verdana" w:hAnsi="Verdana" w:cs="Verdana"/>
          <w:sz w:val="18"/>
          <w:szCs w:val="18"/>
        </w:rPr>
      </w:pPr>
      <w:r>
        <w:rPr>
          <w:rFonts w:ascii="Verdana" w:eastAsia="Verdana" w:hAnsi="Verdana" w:cs="Verdana"/>
          <w:sz w:val="18"/>
          <w:szCs w:val="18"/>
        </w:rPr>
        <w:t>Kierownik marketingu John Deere Polska</w:t>
      </w:r>
    </w:p>
    <w:p w14:paraId="1CBBE91A" w14:textId="77777777" w:rsidR="003B005F" w:rsidRPr="00546834" w:rsidRDefault="00000000">
      <w:pPr>
        <w:spacing w:line="276" w:lineRule="auto"/>
        <w:ind w:left="5040"/>
        <w:jc w:val="right"/>
        <w:rPr>
          <w:rFonts w:ascii="Verdana" w:eastAsia="Verdana" w:hAnsi="Verdana" w:cs="Verdana"/>
          <w:color w:val="0000FF"/>
          <w:sz w:val="18"/>
          <w:szCs w:val="18"/>
          <w:lang w:val="en-US"/>
        </w:rPr>
      </w:pPr>
      <w:r w:rsidRPr="00546834">
        <w:rPr>
          <w:rFonts w:ascii="Verdana" w:eastAsia="Verdana" w:hAnsi="Verdana" w:cs="Verdana"/>
          <w:sz w:val="18"/>
          <w:szCs w:val="18"/>
          <w:lang w:val="en-US"/>
        </w:rPr>
        <w:t xml:space="preserve">e–mail: </w:t>
      </w:r>
      <w:hyperlink r:id="rId11">
        <w:r w:rsidR="003B005F" w:rsidRPr="00546834">
          <w:rPr>
            <w:rFonts w:ascii="Verdana" w:eastAsia="Verdana" w:hAnsi="Verdana" w:cs="Verdana"/>
            <w:color w:val="0000FF"/>
            <w:sz w:val="18"/>
            <w:szCs w:val="18"/>
            <w:u w:val="single"/>
            <w:lang w:val="en-US"/>
          </w:rPr>
          <w:t>BialasBartosz@JohnDeere.com</w:t>
        </w:r>
      </w:hyperlink>
      <w:r w:rsidRPr="00546834">
        <w:rPr>
          <w:rFonts w:ascii="Verdana" w:eastAsia="Verdana" w:hAnsi="Verdana" w:cs="Verdana"/>
          <w:color w:val="0000FF"/>
          <w:sz w:val="18"/>
          <w:szCs w:val="18"/>
          <w:lang w:val="en-US"/>
        </w:rPr>
        <w:t xml:space="preserve"> </w:t>
      </w:r>
    </w:p>
    <w:p w14:paraId="6FEA5C1D" w14:textId="77777777" w:rsidR="003B005F" w:rsidRPr="00546834" w:rsidRDefault="00000000">
      <w:pPr>
        <w:spacing w:line="276" w:lineRule="auto"/>
        <w:jc w:val="right"/>
        <w:rPr>
          <w:rFonts w:ascii="Verdana" w:eastAsia="Verdana" w:hAnsi="Verdana" w:cs="Verdana"/>
          <w:sz w:val="18"/>
          <w:szCs w:val="18"/>
          <w:lang w:val="en-US"/>
        </w:rPr>
      </w:pPr>
      <w:r w:rsidRPr="00546834">
        <w:rPr>
          <w:rFonts w:ascii="Verdana" w:eastAsia="Verdana" w:hAnsi="Verdana" w:cs="Verdana"/>
          <w:sz w:val="18"/>
          <w:szCs w:val="18"/>
          <w:lang w:val="en-US"/>
        </w:rPr>
        <w:t>tel. 784 943 447</w:t>
      </w:r>
    </w:p>
    <w:p w14:paraId="0CDCC44B" w14:textId="77777777" w:rsidR="003B005F" w:rsidRPr="00546834" w:rsidRDefault="003B005F">
      <w:pPr>
        <w:spacing w:line="276" w:lineRule="auto"/>
        <w:ind w:left="5760"/>
        <w:jc w:val="right"/>
        <w:rPr>
          <w:rFonts w:ascii="Verdana" w:eastAsia="Verdana" w:hAnsi="Verdana" w:cs="Verdana"/>
          <w:sz w:val="18"/>
          <w:szCs w:val="18"/>
          <w:lang w:val="en-US"/>
        </w:rPr>
      </w:pPr>
    </w:p>
    <w:p w14:paraId="0C631930" w14:textId="77777777" w:rsidR="003B005F" w:rsidRPr="00546834" w:rsidRDefault="00000000">
      <w:pPr>
        <w:spacing w:line="276" w:lineRule="auto"/>
        <w:jc w:val="right"/>
        <w:rPr>
          <w:rFonts w:ascii="Verdana" w:eastAsia="Verdana" w:hAnsi="Verdana" w:cs="Verdana"/>
          <w:b/>
          <w:color w:val="008000"/>
          <w:sz w:val="18"/>
          <w:szCs w:val="18"/>
          <w:lang w:val="en-US"/>
        </w:rPr>
      </w:pPr>
      <w:r w:rsidRPr="00546834">
        <w:rPr>
          <w:rFonts w:ascii="Verdana" w:eastAsia="Verdana" w:hAnsi="Verdana" w:cs="Verdana"/>
          <w:b/>
          <w:color w:val="008000"/>
          <w:sz w:val="18"/>
          <w:szCs w:val="18"/>
          <w:lang w:val="en-US"/>
        </w:rPr>
        <w:t>Justyna Tomczak</w:t>
      </w:r>
    </w:p>
    <w:p w14:paraId="50C9F2CB" w14:textId="77777777" w:rsidR="003B005F" w:rsidRPr="00546834" w:rsidRDefault="00000000">
      <w:pPr>
        <w:spacing w:line="276" w:lineRule="auto"/>
        <w:jc w:val="right"/>
        <w:rPr>
          <w:rFonts w:ascii="Verdana" w:eastAsia="Verdana" w:hAnsi="Verdana" w:cs="Verdana"/>
          <w:sz w:val="18"/>
          <w:szCs w:val="18"/>
          <w:lang w:val="en-US"/>
        </w:rPr>
      </w:pPr>
      <w:r w:rsidRPr="00546834">
        <w:rPr>
          <w:rFonts w:ascii="Verdana" w:eastAsia="Verdana" w:hAnsi="Verdana" w:cs="Verdana"/>
          <w:sz w:val="18"/>
          <w:szCs w:val="18"/>
          <w:lang w:val="en-US"/>
        </w:rPr>
        <w:t xml:space="preserve">PR Manager, </w:t>
      </w:r>
      <w:proofErr w:type="spellStart"/>
      <w:r w:rsidRPr="00546834">
        <w:rPr>
          <w:rFonts w:ascii="Verdana" w:eastAsia="Verdana" w:hAnsi="Verdana" w:cs="Verdana"/>
          <w:sz w:val="18"/>
          <w:szCs w:val="18"/>
          <w:lang w:val="en-US"/>
        </w:rPr>
        <w:t>dotrelations</w:t>
      </w:r>
      <w:proofErr w:type="spellEnd"/>
    </w:p>
    <w:p w14:paraId="6E7443F7" w14:textId="77777777" w:rsidR="003B005F" w:rsidRPr="00546834" w:rsidRDefault="00000000">
      <w:pPr>
        <w:spacing w:line="276" w:lineRule="auto"/>
        <w:jc w:val="right"/>
        <w:rPr>
          <w:rFonts w:ascii="Verdana" w:eastAsia="Verdana" w:hAnsi="Verdana" w:cs="Verdana"/>
          <w:color w:val="0000FF"/>
          <w:sz w:val="18"/>
          <w:szCs w:val="18"/>
          <w:lang w:val="en-US"/>
        </w:rPr>
      </w:pPr>
      <w:r w:rsidRPr="00546834">
        <w:rPr>
          <w:rFonts w:ascii="Verdana" w:eastAsia="Verdana" w:hAnsi="Verdana" w:cs="Verdana"/>
          <w:sz w:val="18"/>
          <w:szCs w:val="18"/>
          <w:lang w:val="en-US"/>
        </w:rPr>
        <w:t xml:space="preserve">e–mail: </w:t>
      </w:r>
      <w:hyperlink r:id="rId12">
        <w:r w:rsidR="003B005F" w:rsidRPr="00546834">
          <w:rPr>
            <w:rFonts w:ascii="Verdana" w:eastAsia="Verdana" w:hAnsi="Verdana" w:cs="Verdana"/>
            <w:color w:val="0000FF"/>
            <w:sz w:val="18"/>
            <w:szCs w:val="18"/>
            <w:u w:val="single"/>
            <w:lang w:val="en-US"/>
          </w:rPr>
          <w:t>justyna.tomczak@dotrelations.pl</w:t>
        </w:r>
      </w:hyperlink>
      <w:r w:rsidRPr="00546834">
        <w:rPr>
          <w:rFonts w:ascii="Verdana" w:eastAsia="Verdana" w:hAnsi="Verdana" w:cs="Verdana"/>
          <w:color w:val="0000FF"/>
          <w:sz w:val="18"/>
          <w:szCs w:val="18"/>
          <w:lang w:val="en-US"/>
        </w:rPr>
        <w:t xml:space="preserve"> </w:t>
      </w:r>
    </w:p>
    <w:p w14:paraId="7D603BFC" w14:textId="77777777" w:rsidR="003B005F" w:rsidRPr="00546834" w:rsidRDefault="003B005F">
      <w:pPr>
        <w:spacing w:line="276" w:lineRule="auto"/>
        <w:jc w:val="right"/>
        <w:rPr>
          <w:rFonts w:ascii="Verdana" w:eastAsia="Verdana" w:hAnsi="Verdana" w:cs="Verdana"/>
          <w:sz w:val="18"/>
          <w:szCs w:val="18"/>
          <w:lang w:val="en-US"/>
        </w:rPr>
      </w:pPr>
    </w:p>
    <w:sectPr w:rsidR="003B005F" w:rsidRPr="00546834">
      <w:headerReference w:type="default" r:id="rId13"/>
      <w:footerReference w:type="default" r:id="rId14"/>
      <w:pgSz w:w="11907" w:h="16840"/>
      <w:pgMar w:top="677" w:right="1440" w:bottom="432" w:left="1800" w:header="562" w:footer="28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949DB3" w14:textId="77777777" w:rsidR="00055AFF" w:rsidRDefault="00055AFF">
      <w:r>
        <w:separator/>
      </w:r>
    </w:p>
  </w:endnote>
  <w:endnote w:type="continuationSeparator" w:id="0">
    <w:p w14:paraId="4292A483" w14:textId="77777777" w:rsidR="00055AFF" w:rsidRDefault="00055A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jd sans">
    <w:altName w:val="Calibri"/>
    <w:charset w:val="00"/>
    <w:family w:val="auto"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61BD86" w14:textId="77777777" w:rsidR="003B005F" w:rsidRDefault="00000000">
    <w:pPr>
      <w:pBdr>
        <w:top w:val="nil"/>
        <w:left w:val="nil"/>
        <w:bottom w:val="nil"/>
        <w:right w:val="nil"/>
        <w:between w:val="nil"/>
      </w:pBdr>
      <w:ind w:right="-533"/>
      <w:rPr>
        <w:rFonts w:ascii="jd sans" w:eastAsia="jd sans" w:hAnsi="jd sans" w:cs="jd sans"/>
        <w:color w:val="000000"/>
        <w:sz w:val="18"/>
        <w:szCs w:val="18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hidden="0" allowOverlap="1" wp14:anchorId="6B5D95F9" wp14:editId="004F5BEF">
              <wp:simplePos x="0" y="0"/>
              <wp:positionH relativeFrom="column">
                <wp:posOffset>-1142999</wp:posOffset>
              </wp:positionH>
              <wp:positionV relativeFrom="paragraph">
                <wp:posOffset>10134600</wp:posOffset>
              </wp:positionV>
              <wp:extent cx="7637145" cy="349250"/>
              <wp:effectExtent l="0" t="0" r="0" b="0"/>
              <wp:wrapNone/>
              <wp:docPr id="31" name="Rectangle 31" descr="{&quot;HashCode&quot;:166838815,&quot;Height&quot;:842.0,&quot;Width&quot;:595.0,&quot;Placement&quot;:&quot;Foot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1565528" y="3643475"/>
                        <a:ext cx="7560945" cy="2730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CCB5709" w14:textId="77777777" w:rsidR="003B005F" w:rsidRDefault="00000000">
                          <w:pPr>
                            <w:jc w:val="right"/>
                            <w:textDirection w:val="btLr"/>
                          </w:pPr>
                          <w:r>
                            <w:rPr>
                              <w:rFonts w:ascii="Calibri" w:eastAsia="Calibri" w:hAnsi="Calibri" w:cs="Calibri"/>
                              <w:color w:val="FF0000"/>
                            </w:rPr>
                            <w:t>Public</w:t>
                          </w:r>
                        </w:p>
                      </w:txbxContent>
                    </wps:txbx>
                    <wps:bodyPr spcFirstLastPara="1" wrap="square" lIns="91425" tIns="0" rIns="254000" bIns="0" anchor="b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6B5D95F9" id="Rectangle 31" o:spid="_x0000_s1027" alt="{&quot;HashCode&quot;:166838815,&quot;Height&quot;:842.0,&quot;Width&quot;:595.0,&quot;Placement&quot;:&quot;Footer&quot;,&quot;Index&quot;:&quot;Primary&quot;,&quot;Section&quot;:1,&quot;Top&quot;:0.0,&quot;Left&quot;:0.0}" style="position:absolute;margin-left:-90pt;margin-top:798pt;width:601.35pt;height:27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hKcpvgEAAFMDAAAOAAAAZHJzL2Uyb0RvYy54bWysU8Fu2zAMvQ/YPwi6L3YcO1mNOMWwIsOA&#10;YgvQ7QNkWYoF2JJGKrHz96PltNna27ALTVLE43skvb0f+46dFaBxtuLLRcqZstI1xh4r/vPH/sNH&#10;zjAI24jOWVXxi0J+v3v/bjv4UmWudV2jgBGIxXLwFW9D8GWSoGxVL3DhvLL0qB30IlAIx6QBMRB6&#10;3yVZmq6TwUHjwUmFSNmH+ZHvIr7WSobvWqMKrKs4cQvRQrT1ZJPdVpRHEL418kpD/AOLXhhLTV+g&#10;HkQQ7ATmDVRvJDh0Oiyk6xOntZEqaiA1y/SVmqdWeBW10HDQv4wJ/x+s/HZ+8gegMQweSyR3UjFq&#10;6Kcv8WMjrbVYF0VGm7xUfLXOV/mmmAenxsAkFWyKdXqXF5xJqsg2q7SIk01uSB4wfFGuZ5NTcaDF&#10;xHmJ8yMG6k6lzyVTY+v2puvicjr7V4IKp0xyozt5YazHq4baNZcDMPRyb6jXo8BwEEBLXXI20KIr&#10;jr9OAhRn3VdLk7xb5hkxDzGgE4HoZEWephTVz2lhZevocGrOZvdziGc0k/t0Ck6bKGSiM3O4sqTN&#10;RX3XK5tO4884Vt3+hd1vAAAA//8DAFBLAwQUAAYACAAAACEALRKKveMAAAAPAQAADwAAAGRycy9k&#10;b3ducmV2LnhtbEyPQUvDQBCF74L/YRnBi7S7CSa2MZsiYvGmWEvB2zY7TYLZ2ZDdtvHfOz3p7Q3v&#10;8eZ75WpyvTjhGDpPGpK5AoFUe9tRo2H7uZ4tQIRoyJreE2r4wQCr6vqqNIX1Z/rA0yY2gksoFEZD&#10;G+NQSBnqFp0Jcz8gsXfwozORz7GRdjRnLne9TJXKpTMd8YfWDPjcYv29OToN6/c7bONbsqPt1/3r&#10;S7az48Estb69mZ4eQUSc4l8YLviMDhUz7f2RbBC9hlmyUDwmspMtc1aXjErTBxB7VnmWKJBVKf/v&#10;qH4BAAD//wMAUEsBAi0AFAAGAAgAAAAhALaDOJL+AAAA4QEAABMAAAAAAAAAAAAAAAAAAAAAAFtD&#10;b250ZW50X1R5cGVzXS54bWxQSwECLQAUAAYACAAAACEAOP0h/9YAAACUAQAACwAAAAAAAAAAAAAA&#10;AAAvAQAAX3JlbHMvLnJlbHNQSwECLQAUAAYACAAAACEAJ4SnKb4BAABTAwAADgAAAAAAAAAAAAAA&#10;AAAuAgAAZHJzL2Uyb0RvYy54bWxQSwECLQAUAAYACAAAACEALRKKveMAAAAPAQAADwAAAAAAAAAA&#10;AAAAAAAYBAAAZHJzL2Rvd25yZXYueG1sUEsFBgAAAAAEAAQA8wAAACgFAAAAAA==&#10;" filled="f" stroked="f">
              <v:textbox inset="2.53958mm,0,20pt,0">
                <w:txbxContent>
                  <w:p w14:paraId="3CCB5709" w14:textId="77777777" w:rsidR="003B005F" w:rsidRDefault="00000000">
                    <w:pPr>
                      <w:jc w:val="right"/>
                      <w:textDirection w:val="btLr"/>
                    </w:pPr>
                    <w:r>
                      <w:rPr>
                        <w:rFonts w:ascii="Calibri" w:eastAsia="Calibri" w:hAnsi="Calibri" w:cs="Calibri"/>
                        <w:color w:val="FF0000"/>
                      </w:rPr>
                      <w:t>Public</w:t>
                    </w:r>
                  </w:p>
                </w:txbxContent>
              </v:textbox>
            </v:rect>
          </w:pict>
        </mc:Fallback>
      </mc:AlternateContent>
    </w:r>
  </w:p>
  <w:p w14:paraId="03B071AF" w14:textId="77777777" w:rsidR="003B005F" w:rsidRDefault="003B005F">
    <w:pPr>
      <w:pBdr>
        <w:top w:val="nil"/>
        <w:left w:val="nil"/>
        <w:bottom w:val="nil"/>
        <w:right w:val="nil"/>
        <w:between w:val="nil"/>
      </w:pBdr>
      <w:ind w:right="-533"/>
      <w:jc w:val="center"/>
      <w:rPr>
        <w:rFonts w:ascii="Arial" w:eastAsia="Arial" w:hAnsi="Arial" w:cs="Arial"/>
        <w:color w:val="000000"/>
        <w:sz w:val="16"/>
        <w:szCs w:val="16"/>
      </w:rPr>
    </w:pPr>
  </w:p>
  <w:p w14:paraId="2305FC4D" w14:textId="77777777" w:rsidR="003B005F" w:rsidRDefault="003B005F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F828A9" w14:textId="77777777" w:rsidR="00055AFF" w:rsidRDefault="00055AFF">
      <w:r>
        <w:separator/>
      </w:r>
    </w:p>
  </w:footnote>
  <w:footnote w:type="continuationSeparator" w:id="0">
    <w:p w14:paraId="2354C136" w14:textId="77777777" w:rsidR="00055AFF" w:rsidRDefault="00055AF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8EB2DE" w14:textId="77777777" w:rsidR="003B005F" w:rsidRDefault="003B005F">
    <w:pPr>
      <w:widowControl w:val="0"/>
      <w:pBdr>
        <w:top w:val="nil"/>
        <w:left w:val="nil"/>
        <w:bottom w:val="nil"/>
        <w:right w:val="nil"/>
        <w:between w:val="nil"/>
      </w:pBdr>
      <w:spacing w:line="276" w:lineRule="auto"/>
      <w:rPr>
        <w:rFonts w:ascii="Verdana" w:eastAsia="Verdana" w:hAnsi="Verdana" w:cs="Verdana"/>
        <w:color w:val="000000"/>
        <w:sz w:val="18"/>
        <w:szCs w:val="18"/>
      </w:rPr>
    </w:pPr>
  </w:p>
  <w:tbl>
    <w:tblPr>
      <w:tblStyle w:val="a5"/>
      <w:tblW w:w="10575" w:type="dxa"/>
      <w:tblInd w:w="-1021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Look w:val="0000" w:firstRow="0" w:lastRow="0" w:firstColumn="0" w:lastColumn="0" w:noHBand="0" w:noVBand="0"/>
    </w:tblPr>
    <w:tblGrid>
      <w:gridCol w:w="6039"/>
      <w:gridCol w:w="4536"/>
    </w:tblGrid>
    <w:tr w:rsidR="003B005F" w:rsidRPr="00546834" w14:paraId="7404833D" w14:textId="77777777">
      <w:tc>
        <w:tcPr>
          <w:tcW w:w="6039" w:type="dxa"/>
        </w:tcPr>
        <w:p w14:paraId="7E70E089" w14:textId="77777777" w:rsidR="003B005F" w:rsidRDefault="00000000">
          <w:pPr>
            <w:ind w:left="-794" w:right="-680" w:firstLine="391"/>
            <w:rPr>
              <w:rFonts w:ascii="Arial" w:eastAsia="Arial" w:hAnsi="Arial" w:cs="Arial"/>
              <w:sz w:val="24"/>
              <w:szCs w:val="24"/>
            </w:rPr>
          </w:pPr>
          <w:r>
            <w:rPr>
              <w:noProof/>
            </w:rPr>
            <w:drawing>
              <wp:anchor distT="0" distB="0" distL="114300" distR="114300" simplePos="0" relativeHeight="251658240" behindDoc="0" locked="0" layoutInCell="1" hidden="0" allowOverlap="1" wp14:anchorId="484DABF0" wp14:editId="66C9EB87">
                <wp:simplePos x="0" y="0"/>
                <wp:positionH relativeFrom="column">
                  <wp:posOffset>-63492</wp:posOffset>
                </wp:positionH>
                <wp:positionV relativeFrom="paragraph">
                  <wp:posOffset>17780</wp:posOffset>
                </wp:positionV>
                <wp:extent cx="2286000" cy="463550"/>
                <wp:effectExtent l="0" t="0" r="0" b="0"/>
                <wp:wrapNone/>
                <wp:docPr id="34" name="image3.jpg" descr="green horiz for letterhead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3.jpg" descr="green horiz for letterhead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286000" cy="463550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4536" w:type="dxa"/>
        </w:tcPr>
        <w:p w14:paraId="4B62EB91" w14:textId="77777777" w:rsidR="003B005F" w:rsidRDefault="003B005F">
          <w:pPr>
            <w:keepNext/>
            <w:pBdr>
              <w:top w:val="nil"/>
              <w:left w:val="nil"/>
              <w:bottom w:val="nil"/>
              <w:right w:val="nil"/>
              <w:between w:val="nil"/>
            </w:pBdr>
            <w:ind w:right="-533" w:hanging="142"/>
            <w:rPr>
              <w:rFonts w:ascii="Arial" w:eastAsia="Arial" w:hAnsi="Arial" w:cs="Arial"/>
              <w:color w:val="000000"/>
              <w:sz w:val="18"/>
              <w:szCs w:val="18"/>
            </w:rPr>
          </w:pPr>
        </w:p>
        <w:p w14:paraId="2CF406FF" w14:textId="77777777" w:rsidR="003B005F" w:rsidRDefault="003B005F">
          <w:pPr>
            <w:keepNext/>
            <w:pBdr>
              <w:top w:val="nil"/>
              <w:left w:val="nil"/>
              <w:bottom w:val="nil"/>
              <w:right w:val="nil"/>
              <w:between w:val="nil"/>
            </w:pBdr>
            <w:ind w:right="-533" w:hanging="142"/>
            <w:rPr>
              <w:rFonts w:ascii="Arial" w:eastAsia="Arial" w:hAnsi="Arial" w:cs="Arial"/>
              <w:color w:val="000000"/>
              <w:sz w:val="18"/>
              <w:szCs w:val="18"/>
            </w:rPr>
          </w:pPr>
        </w:p>
        <w:p w14:paraId="28BD3F01" w14:textId="77777777" w:rsidR="003B005F" w:rsidRDefault="00000000">
          <w:pPr>
            <w:keepNext/>
            <w:pBdr>
              <w:top w:val="nil"/>
              <w:left w:val="nil"/>
              <w:bottom w:val="nil"/>
              <w:right w:val="nil"/>
              <w:between w:val="nil"/>
            </w:pBdr>
            <w:spacing w:before="60"/>
            <w:ind w:right="-533"/>
            <w:rPr>
              <w:rFonts w:ascii="Arial" w:eastAsia="Arial" w:hAnsi="Arial" w:cs="Arial"/>
              <w:color w:val="000000"/>
              <w:sz w:val="18"/>
              <w:szCs w:val="18"/>
            </w:rPr>
          </w:pPr>
          <w:r>
            <w:rPr>
              <w:rFonts w:ascii="Arial" w:eastAsia="Arial" w:hAnsi="Arial" w:cs="Arial"/>
              <w:color w:val="000000"/>
              <w:sz w:val="18"/>
              <w:szCs w:val="18"/>
            </w:rPr>
            <w:t xml:space="preserve">John </w:t>
          </w:r>
          <w:proofErr w:type="spellStart"/>
          <w:r>
            <w:rPr>
              <w:rFonts w:ascii="Arial" w:eastAsia="Arial" w:hAnsi="Arial" w:cs="Arial"/>
              <w:color w:val="000000"/>
              <w:sz w:val="18"/>
              <w:szCs w:val="18"/>
            </w:rPr>
            <w:t>Deere</w:t>
          </w:r>
          <w:proofErr w:type="spellEnd"/>
          <w:r>
            <w:rPr>
              <w:rFonts w:ascii="Arial" w:eastAsia="Arial" w:hAnsi="Arial" w:cs="Arial"/>
              <w:color w:val="000000"/>
              <w:sz w:val="18"/>
              <w:szCs w:val="18"/>
            </w:rPr>
            <w:t xml:space="preserve"> Polska Sp. z o.o.</w:t>
          </w:r>
        </w:p>
        <w:p w14:paraId="7F26BF15" w14:textId="77777777" w:rsidR="003B005F" w:rsidRDefault="00000000">
          <w:pPr>
            <w:keepNext/>
            <w:pBdr>
              <w:top w:val="nil"/>
              <w:left w:val="nil"/>
              <w:bottom w:val="nil"/>
              <w:right w:val="nil"/>
              <w:between w:val="nil"/>
            </w:pBdr>
            <w:ind w:right="-533"/>
            <w:rPr>
              <w:rFonts w:ascii="Arial" w:eastAsia="Arial" w:hAnsi="Arial" w:cs="Arial"/>
              <w:color w:val="000000"/>
              <w:sz w:val="18"/>
              <w:szCs w:val="18"/>
            </w:rPr>
          </w:pPr>
          <w:r>
            <w:rPr>
              <w:rFonts w:ascii="Arial" w:eastAsia="Arial" w:hAnsi="Arial" w:cs="Arial"/>
              <w:color w:val="000000"/>
              <w:sz w:val="18"/>
              <w:szCs w:val="18"/>
            </w:rPr>
            <w:t>ul. Poznańska 1 B</w:t>
          </w:r>
          <w:r>
            <w:rPr>
              <w:rFonts w:ascii="Arial" w:eastAsia="Arial" w:hAnsi="Arial" w:cs="Arial"/>
              <w:color w:val="000000"/>
              <w:sz w:val="18"/>
              <w:szCs w:val="18"/>
            </w:rPr>
            <w:br/>
            <w:t>62–080 Tarnowo Podgórne  Polska</w:t>
          </w:r>
        </w:p>
        <w:p w14:paraId="0C7D91E7" w14:textId="77777777" w:rsidR="003B005F" w:rsidRPr="00546834" w:rsidRDefault="00000000">
          <w:pPr>
            <w:keepNext/>
            <w:pBdr>
              <w:top w:val="nil"/>
              <w:left w:val="nil"/>
              <w:bottom w:val="nil"/>
              <w:right w:val="nil"/>
              <w:between w:val="nil"/>
            </w:pBdr>
            <w:ind w:right="-533" w:hanging="142"/>
            <w:rPr>
              <w:rFonts w:ascii="Arial" w:eastAsia="Arial" w:hAnsi="Arial" w:cs="Arial"/>
              <w:color w:val="000000"/>
              <w:sz w:val="18"/>
              <w:szCs w:val="18"/>
              <w:lang w:val="en-US"/>
            </w:rPr>
          </w:pPr>
          <w:r>
            <w:rPr>
              <w:rFonts w:ascii="Arial" w:eastAsia="Arial" w:hAnsi="Arial" w:cs="Arial"/>
              <w:color w:val="000000"/>
              <w:sz w:val="18"/>
              <w:szCs w:val="18"/>
            </w:rPr>
            <w:t xml:space="preserve"> </w:t>
          </w:r>
          <w:r w:rsidRPr="00546834">
            <w:rPr>
              <w:rFonts w:ascii="Arial" w:eastAsia="Arial" w:hAnsi="Arial" w:cs="Arial"/>
              <w:color w:val="000000"/>
              <w:sz w:val="18"/>
              <w:szCs w:val="18"/>
              <w:lang w:val="en-US"/>
            </w:rPr>
            <w:t>Tel.: +48 61 81 15 196  Fax: +48 61 8115 197</w:t>
          </w:r>
        </w:p>
        <w:p w14:paraId="4852F567" w14:textId="77777777" w:rsidR="003B005F" w:rsidRPr="00546834" w:rsidRDefault="00000000">
          <w:pPr>
            <w:rPr>
              <w:sz w:val="18"/>
              <w:szCs w:val="18"/>
              <w:lang w:val="en-US"/>
            </w:rPr>
          </w:pPr>
          <w:r w:rsidRPr="00546834">
            <w:rPr>
              <w:rFonts w:ascii="Arial" w:eastAsia="Arial" w:hAnsi="Arial" w:cs="Arial"/>
              <w:sz w:val="18"/>
              <w:szCs w:val="18"/>
              <w:lang w:val="en-US"/>
            </w:rPr>
            <w:t>NIP: 777–24–19–808</w:t>
          </w:r>
        </w:p>
        <w:p w14:paraId="319D49E2" w14:textId="77777777" w:rsidR="003B005F" w:rsidRPr="00546834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153"/>
              <w:tab w:val="right" w:pos="8306"/>
            </w:tabs>
            <w:rPr>
              <w:rFonts w:ascii="Arial" w:eastAsia="Arial" w:hAnsi="Arial" w:cs="Arial"/>
              <w:color w:val="000000"/>
              <w:sz w:val="18"/>
              <w:szCs w:val="18"/>
              <w:lang w:val="en-US"/>
            </w:rPr>
          </w:pPr>
          <w:r w:rsidRPr="00546834">
            <w:rPr>
              <w:rFonts w:ascii="Arial" w:eastAsia="Arial" w:hAnsi="Arial" w:cs="Arial"/>
              <w:color w:val="000000"/>
              <w:sz w:val="18"/>
              <w:szCs w:val="18"/>
              <w:lang w:val="en-US"/>
            </w:rPr>
            <w:t>E–mail: Polska@JohnDeere.com</w:t>
          </w:r>
        </w:p>
        <w:p w14:paraId="7A28384B" w14:textId="77777777" w:rsidR="003B005F" w:rsidRPr="00546834" w:rsidRDefault="003B005F">
          <w:pPr>
            <w:ind w:hanging="142"/>
            <w:rPr>
              <w:rFonts w:ascii="Arial" w:eastAsia="Arial" w:hAnsi="Arial" w:cs="Arial"/>
              <w:sz w:val="18"/>
              <w:szCs w:val="18"/>
              <w:lang w:val="en-US"/>
            </w:rPr>
          </w:pPr>
        </w:p>
      </w:tc>
    </w:tr>
  </w:tbl>
  <w:p w14:paraId="6C2BADDF" w14:textId="77777777" w:rsidR="003B005F" w:rsidRPr="00546834" w:rsidRDefault="003B005F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rPr>
        <w:color w:val="000000"/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CA1FB6"/>
    <w:multiLevelType w:val="multilevel"/>
    <w:tmpl w:val="64628A5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 w16cid:durableId="21178698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trackRevisions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B005F"/>
    <w:rsid w:val="000147A8"/>
    <w:rsid w:val="00055AFF"/>
    <w:rsid w:val="002740A1"/>
    <w:rsid w:val="003B005F"/>
    <w:rsid w:val="003D4A1E"/>
    <w:rsid w:val="00546834"/>
    <w:rsid w:val="00853A15"/>
    <w:rsid w:val="00973CA3"/>
    <w:rsid w:val="00A04123"/>
    <w:rsid w:val="00D9362D"/>
    <w:rsid w:val="00DE01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2E614D"/>
  <w15:docId w15:val="{E47D1498-BE7A-478D-B062-30D84B3358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uiPriority w:val="9"/>
    <w:qFormat/>
    <w:pPr>
      <w:keepNext/>
      <w:outlineLvl w:val="0"/>
    </w:pPr>
    <w:rPr>
      <w:rFonts w:ascii="Arial" w:eastAsia="Arial" w:hAnsi="Arial" w:cs="Arial"/>
      <w:b/>
      <w:sz w:val="24"/>
      <w:szCs w:val="24"/>
    </w:rPr>
  </w:style>
  <w:style w:type="paragraph" w:styleId="Nagwek2">
    <w:name w:val="heading 2"/>
    <w:basedOn w:val="Normalny"/>
    <w:next w:val="Normalny"/>
    <w:uiPriority w:val="9"/>
    <w:unhideWhenUsed/>
    <w:qFormat/>
    <w:pPr>
      <w:keepNext/>
      <w:keepLines/>
      <w:spacing w:before="40"/>
      <w:outlineLvl w:val="1"/>
    </w:pPr>
    <w:rPr>
      <w:rFonts w:ascii="Calibri" w:eastAsia="Calibri" w:hAnsi="Calibri" w:cs="Calibri"/>
      <w:color w:val="2F5496"/>
      <w:sz w:val="26"/>
      <w:szCs w:val="26"/>
    </w:rPr>
  </w:style>
  <w:style w:type="paragraph" w:styleId="Nagwek3">
    <w:name w:val="heading 3"/>
    <w:basedOn w:val="Normalny"/>
    <w:next w:val="Normalny"/>
    <w:uiPriority w:val="9"/>
    <w:unhideWhenUsed/>
    <w:qFormat/>
    <w:pPr>
      <w:keepNext/>
      <w:keepLines/>
      <w:spacing w:before="40"/>
      <w:outlineLvl w:val="2"/>
    </w:pPr>
    <w:rPr>
      <w:rFonts w:ascii="Calibri" w:eastAsia="Calibri" w:hAnsi="Calibri" w:cs="Calibri"/>
      <w:color w:val="1F3863"/>
      <w:sz w:val="24"/>
      <w:szCs w:val="24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sz w:val="26"/>
      <w:szCs w:val="26"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keepNext/>
      <w:keepLines/>
      <w:spacing w:before="40"/>
      <w:outlineLvl w:val="4"/>
    </w:pPr>
    <w:rPr>
      <w:rFonts w:ascii="Calibri" w:eastAsia="Calibri" w:hAnsi="Calibri" w:cs="Calibri"/>
      <w:color w:val="2F5496"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uiPriority w:val="10"/>
    <w:qFormat/>
    <w:pPr>
      <w:spacing w:before="300" w:after="200"/>
    </w:pPr>
    <w:rPr>
      <w:sz w:val="48"/>
      <w:szCs w:val="48"/>
    </w:rPr>
  </w:style>
  <w:style w:type="table" w:customStyle="1" w:styleId="TableNormal0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">
    <w:basedOn w:val="Standardowy"/>
    <w:rPr>
      <w:color w:val="404040"/>
    </w:rPr>
    <w:tblPr>
      <w:tblStyleRowBandSize w:val="1"/>
      <w:tblStyleColBandSize w:val="1"/>
      <w:tblCellMar>
        <w:left w:w="198" w:type="dxa"/>
        <w:right w:w="198" w:type="dxa"/>
      </w:tblCellMar>
    </w:tblPr>
    <w:tcPr>
      <w:shd w:val="clear" w:color="auto" w:fill="A9D08E"/>
    </w:tcPr>
  </w:style>
  <w:style w:type="table" w:customStyle="1" w:styleId="a0">
    <w:basedOn w:val="Standardowy"/>
    <w:rPr>
      <w:color w:val="404040"/>
    </w:rPr>
    <w:tblPr>
      <w:tblStyleRowBandSize w:val="1"/>
      <w:tblStyleColBandSize w:val="1"/>
      <w:tblCellMar>
        <w:left w:w="115" w:type="dxa"/>
        <w:right w:w="115" w:type="dxa"/>
      </w:tblCellMar>
    </w:tblPr>
    <w:tcPr>
      <w:shd w:val="clear" w:color="auto" w:fill="A9D08E"/>
    </w:tcPr>
  </w:style>
  <w:style w:type="paragraph" w:styleId="Tekstkomentarza">
    <w:name w:val="annotation text"/>
    <w:link w:val="TekstkomentarzaZnak"/>
    <w:uiPriority w:val="99"/>
    <w:semiHidden/>
    <w:unhideWhenUsed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</w:style>
  <w:style w:type="character" w:styleId="Odwoaniedokomentarza">
    <w:name w:val="annotation reference"/>
    <w:basedOn w:val="Domylnaczcionkaakapitu"/>
    <w:uiPriority w:val="99"/>
    <w:semiHidden/>
    <w:unhideWhenUsed/>
    <w:rPr>
      <w:sz w:val="16"/>
      <w:szCs w:val="16"/>
    </w:rPr>
  </w:style>
  <w:style w:type="paragraph" w:styleId="Poprawka">
    <w:name w:val="Revision"/>
    <w:hidden/>
    <w:uiPriority w:val="99"/>
    <w:semiHidden/>
    <w:rsid w:val="00237908"/>
  </w:style>
  <w:style w:type="table" w:customStyle="1" w:styleId="a1">
    <w:basedOn w:val="Standardowy"/>
    <w:rPr>
      <w:color w:val="404040"/>
    </w:rPr>
    <w:tblPr>
      <w:tblStyleRowBandSize w:val="1"/>
      <w:tblStyleColBandSize w:val="1"/>
      <w:tblCellMar>
        <w:left w:w="115" w:type="dxa"/>
        <w:right w:w="115" w:type="dxa"/>
      </w:tblCellMar>
    </w:tblPr>
    <w:tcPr>
      <w:shd w:val="clear" w:color="auto" w:fill="A9D08E"/>
    </w:tcPr>
  </w:style>
  <w:style w:type="table" w:customStyle="1" w:styleId="a2">
    <w:basedOn w:val="Standardowy"/>
    <w:rPr>
      <w:color w:val="404040"/>
    </w:rPr>
    <w:tblPr>
      <w:tblStyleRowBandSize w:val="1"/>
      <w:tblStyleColBandSize w:val="1"/>
      <w:tblCellMar>
        <w:left w:w="115" w:type="dxa"/>
        <w:right w:w="115" w:type="dxa"/>
      </w:tblCellMar>
    </w:tblPr>
    <w:tcPr>
      <w:shd w:val="clear" w:color="auto" w:fill="A9D08E"/>
    </w:tcPr>
  </w:style>
  <w:style w:type="table" w:customStyle="1" w:styleId="a3">
    <w:basedOn w:val="Standardowy"/>
    <w:rPr>
      <w:color w:val="404040"/>
    </w:rPr>
    <w:tblPr>
      <w:tblStyleRowBandSize w:val="1"/>
      <w:tblStyleColBandSize w:val="1"/>
      <w:tblCellMar>
        <w:left w:w="115" w:type="dxa"/>
        <w:right w:w="115" w:type="dxa"/>
      </w:tblCellMar>
    </w:tblPr>
    <w:tcPr>
      <w:shd w:val="clear" w:color="auto" w:fill="A9D08E"/>
    </w:tcPr>
  </w:style>
  <w:style w:type="table" w:customStyle="1" w:styleId="a4">
    <w:basedOn w:val="Standardowy"/>
    <w:rPr>
      <w:color w:val="404040"/>
    </w:rPr>
    <w:tblPr>
      <w:tblStyleRowBandSize w:val="1"/>
      <w:tblStyleColBandSize w:val="1"/>
      <w:tblCellMar>
        <w:left w:w="115" w:type="dxa"/>
        <w:right w:w="115" w:type="dxa"/>
      </w:tblCellMar>
    </w:tblPr>
    <w:tcPr>
      <w:shd w:val="clear" w:color="auto" w:fill="A9D08E"/>
    </w:tcPr>
  </w:style>
  <w:style w:type="paragraph" w:styleId="Podtytu">
    <w:name w:val="Subtitle"/>
    <w:basedOn w:val="Normalny"/>
    <w:next w:val="Normalny"/>
    <w:uiPriority w:val="11"/>
    <w:qFormat/>
    <w:pPr>
      <w:pBdr>
        <w:top w:val="nil"/>
        <w:left w:val="nil"/>
        <w:bottom w:val="nil"/>
        <w:right w:val="nil"/>
        <w:between w:val="nil"/>
      </w:pBdr>
      <w:spacing w:before="200" w:after="200"/>
    </w:pPr>
    <w:rPr>
      <w:color w:val="000000"/>
      <w:sz w:val="24"/>
      <w:szCs w:val="24"/>
    </w:rPr>
  </w:style>
  <w:style w:type="table" w:customStyle="1" w:styleId="a5">
    <w:basedOn w:val="Standardowy"/>
    <w:rPr>
      <w:color w:val="404040"/>
    </w:rPr>
    <w:tblPr>
      <w:tblStyleRowBandSize w:val="1"/>
      <w:tblStyleColBandSize w:val="1"/>
      <w:tblCellMar>
        <w:left w:w="115" w:type="dxa"/>
        <w:right w:w="115" w:type="dxa"/>
      </w:tblCellMar>
    </w:tblPr>
    <w:tcPr>
      <w:shd w:val="clear" w:color="auto" w:fill="A9D08E"/>
    </w:tc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yperlink" Target="mailto:justyna.tomczak@dotrelations.pl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BialasBartosz@JohnDeere.com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ATwyTmSZFodlf7KLsqmj13l4jsA==">CgMxLjAyDmguZ3lrdng4dWNvaTZ0Mg5oLm42MzE5Z28zcXAybDIOaC5iMzU1d2t1Z3Q2cm04AHIhMUFIbHloeFFhbGJKVEFnUE5TQ3hQdWtRWXBMbWVuZGlE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A39DBDD9-24ED-4FF2-9ECC-BD62E344FD45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029374dd-2437-4816-8d63-bf9cc1b578e5}" enabled="1" method="Privileged" siteId="{39b03722-b836-496a-85ec-850f0957ca6b}" contentBits="2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3</Pages>
  <Words>670</Words>
  <Characters>4022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Bartosz Bialas</dc:creator>
  <cp:lastModifiedBy>Justyna Tomczak</cp:lastModifiedBy>
  <cp:revision>4</cp:revision>
  <dcterms:created xsi:type="dcterms:W3CDTF">2025-08-05T11:18:00Z</dcterms:created>
  <dcterms:modified xsi:type="dcterms:W3CDTF">2025-08-05T12:00:00Z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029374dd-2437-4816-8d63-bf9cc1b578e5_Enabled">
    <vt:lpwstr>true</vt:lpwstr>
  </property>
  <property fmtid="{D5CDD505-2E9C-101B-9397-08002B2CF9AE}" pid="3" name="MSIP_Label_029374dd-2437-4816-8d63-bf9cc1b578e5_ContentBits">
    <vt:lpwstr>2</vt:lpwstr>
  </property>
  <property fmtid="{D5CDD505-2E9C-101B-9397-08002B2CF9AE}" pid="4" name="MSIP_Label_029374dd-2437-4816-8d63-bf9cc1b578e5_ActionId">
    <vt:lpwstr>2309a715-33f9-4e5a-aba8-047f6a912a7d</vt:lpwstr>
  </property>
  <property fmtid="{D5CDD505-2E9C-101B-9397-08002B2CF9AE}" pid="5" name="MSIP_Label_029374dd-2437-4816-8d63-bf9cc1b578e5_SiteId">
    <vt:lpwstr>39b03722-b836-496a-85ec-850f0957ca6b</vt:lpwstr>
  </property>
  <property fmtid="{D5CDD505-2E9C-101B-9397-08002B2CF9AE}" pid="6" name="ContentTypeId">
    <vt:lpwstr>0x010100CF29B15429B40048AF50042F226F91CD</vt:lpwstr>
  </property>
  <property fmtid="{D5CDD505-2E9C-101B-9397-08002B2CF9AE}" pid="7" name="MSIP_Label_029374dd-2437-4816-8d63-bf9cc1b578e5_SetDate">
    <vt:lpwstr>2023-02-20T22:31:27Z</vt:lpwstr>
  </property>
  <property fmtid="{D5CDD505-2E9C-101B-9397-08002B2CF9AE}" pid="8" name="MSIP_Label_029374dd-2437-4816-8d63-bf9cc1b578e5_Name">
    <vt:lpwstr>Public</vt:lpwstr>
  </property>
  <property fmtid="{D5CDD505-2E9C-101B-9397-08002B2CF9AE}" pid="9" name="MSIP_Label_029374dd-2437-4816-8d63-bf9cc1b578e5_Method">
    <vt:lpwstr>Privileged</vt:lpwstr>
  </property>
</Properties>
</file>