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Korzystny </w:t>
      </w: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czas dla hodowców </w:t>
      </w: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– jak wykorzystać sprzyjające warunki w sektorze mleczarskim i mięsnym?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Rynek mleka i wołowiny rośnie – rolnicy mogą liczyć na wzrosty cen i stabilny popyt.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2025 i 2026 to czas korzystnych prognoz – idealny moment na decyzje inwestycyjne.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Ciągniki serii 5M, 6M John Deere odpowiadają na realne potrzeby nowoczesnych gospodarstw produkcji 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zwierzęcej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. A dla bardziej wymagających – seria 6R.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  <w:b w:val="1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rtl w:val="0"/>
        </w:rPr>
        <w:t xml:space="preserve">Silna koniunktura – wyższe ceny, większe możliwości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Rynek mleka: ostrożny optymizm wśród wyzwań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Na rynku mleka rok 2025 może przynieść znaczące odbicie. Według prognoz Wielkopolskiej Izby Rolniczej, mimo wielu wyzwań – takich jak wysokie koszty energii, niedobór pracowników czy zmiany przepisów środowiskowych –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rośnie zapotrzebowanie na mleko wysokiej jakości.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Jak podkreślono w analizie: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„Rok 2025 może okazać się kluczowy dla stabilizacji i odbudowy rynku mleka w Polsce, o ile utrzyma się popyt na produkty mleczne i rolnicy będą wspierani w inwestycjach”.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To daje nadzieję na poprawę rentowności dla gospodarstw, które postawią na rozwój i unowocześnienie produkcji. Koniunktura może sprzyjać decyzjom inwestycyjnym, szczególnie w zakresie maszyn ułatwiających codzienną pracę – od zadawania paszy po zbiór i magazynowanie pasz objętościowych.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Rynek bydła: dynamiczne wzrosty i dobre prognozy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Ceny skupu bydła w Polsce biją kolejne rekordy. Jak wynika z analizy Credit Agricole*, w najbliższych kwartałach trend wzrostowy ma się utrzymać – przewiduje się, że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cena skupu żywca osiągnie ok. 12,50 zł/kg do końca 2025 roku, a ok. 13,00 zł/kg w 2026 roku.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 tymi wzrostami stoją m.in. zmiany strukturalne w unijnym sektorze bydła, niepewność regulacyjna oraz problemy z sukcesją w wielu gospodarstwach. To tworzy przestrzeń dla tych producentów, którzy zdecydują się rozwijać. Rosnące ceny zbytu mogą być impulsem do inwestycji – także w nowoczesne maszyny, które pomogą zwiększyć efektywność i zoptymalizować koszty.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Maszyny, które wspierają rozwój gospodarstw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Przy dobrej koniunkturze naturalnym krokiem jest modernizacja i inwestycje w sprzęt, który sprosta rosnącym potrzebom. Gospodarstwa specjalizujące się w produkcji zwierzęcej coraz częściej stawiają na maszyny wielozadaniowe, które łączą siłę z elastycznością – a właśnie to oferują nowe modele ciągników John Deere.</w:t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Ciągniki serii 5M to idealny wybór dla mniejszych i średnich gospodarstw mlecznych.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Dzięki swojej kompaktowej konstrukcji (wysokość niższa niż 2,65 m, promień skrętu 4,10 m) doskonale sprawdzają się w ciasnych podwórkach, oborach i na pastwiskach. Nowy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model 5130M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zapewnia jeszcze większą moc do zadań – jak koszenie, praca z ładowaczem czołowym czy transport paszy.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W mniejszych gospodarstwach mlecznych liczy się każda godzina i każdy manewr. Seria 5M została zaprojektowana właśnie z myślą o takich warunkach – jest kompaktowa, zwrotna, a przy tym wyposażona w nowoczesne technologie, które realnie ułatwiają codzienną pracę. System AutoTrac</w:t>
      </w:r>
      <w:r w:rsidDel="00000000" w:rsidR="00000000" w:rsidRPr="00000000">
        <w:rPr>
          <w:rFonts w:ascii="Verdana" w:cs="Verdana" w:eastAsia="Verdana" w:hAnsi="Verdana"/>
          <w:i w:val="1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 pozwala na precyzyjne prowadzenie maszyny w każdych warunkach, a przekładnia PowrQuad PLUS umożliwia płynną zmianę 4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biegów bez użycia sprzęgła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 oraz kierunku jazdy dzięki elektrohydraulicznemu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rewersowi (tzw. Left Hand Reverser)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. Do tego dochodzi komfortowa kabina, przygotowana z myślą o długich godzinach pracy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– tłumaczy Szymon Kaczmarek, specjalista produktowy John Deere Polska.</w:t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Dla gospodarstw, które potrzebują nieco więcej masy i komfortu, ciągniki serii 6M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w krótkiej ramie stanowią doskonałe uzupełnienie parku maszynowego. Modele takie jak 6M 95 czy 6M 125 oferują moc maksymalną z IPM od 120 do 150 KM i zostały zaprojektowane z myślą o pracy w ograniczonych przestrzeniach – bez kompromisów, jeśli chodzi o funkcjonalność ciągnika średniej klasy. Wersje wyposażone w elektroniczne sterowanie ładowacza dostępne są teraz w promocji – tańsze aż o 12 100 zł. Dodatkowo w tej klasie dostępna jest również przekładnia bezstopniowa AutoPowr, umożliwiająca jazdę z prędkością do 50 km/h, co jeszcze bardziej podnosi komfort i precyzję pracy. Dzięki możliwości konfiguracji ciągnika pod konkretne potrzeby – od pracy z ładowaczem, przez kosiarki, po transport – seria 6M cieszy się dużym zainteresowaniem wśród nowoczesnych hodowców i producentów mleka. A dla gospodarstw, które oczekują najwyższej precyzji i wydajności, John Deere oferuje serię 6R – ciągniki stworzone z myślą o najbardziej wymagających użytkownikach. W tej klasie maszyny wyposażone są w przekładnię bezstopniową AutoPowr, joystick CommandPRO do intuicyjnego sterowania oraz pełne programowanie funkcji na uwrociach, co znacząco skraca czas manewrowania i zwiększa powtarzalność pracy. Dzięki inteligentnemu obciążnikowi EZ Ballast ciągnik sam dostosowuje swoją masę do warunków pracy – bez potrzeby ręcznego montowania balastu. Seria 6R to rozwiązanie dla tych, którzy chcą mieć pełną kontrolę nad każdym zadaniem, niezależnie od warunków, i maksymalnie wykorzystać potencjał swojej floty.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Zbiory i pasze pod kontrolą</w:t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Zbilansowane żywienie zwierząt to fundament opłacalnej produkcji, a jakość paszy zaczyna się już na polu. Dlatego tak ważne są niezawodne maszyny do zbioru i przygotowania materiału paszowego – od pras po sieczkarnie.</w:t>
      </w:r>
    </w:p>
    <w:p w:rsidR="00000000" w:rsidDel="00000000" w:rsidP="00000000" w:rsidRDefault="00000000" w:rsidRPr="00000000" w14:paraId="0000002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jc w:val="both"/>
        <w:rPr>
          <w:rFonts w:ascii="Verdana" w:cs="Verdana" w:eastAsia="Verdana" w:hAnsi="Verdana"/>
          <w:highlight w:val="whit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Rolnicy doskonale wiedzą, jak duży wpływ na wydajność hodowli ma jakość paszy. Dlatego coraz częściej sięgają po sprawdzone maszyny, które gwarantują powtarzalność i dużą gęstość beli. Nasze prasy zwijające, takie jak V451R, seria M czy prasoowijarka C441R, zapewniają szybkie, równomierne belowanie oraz idealne owinięcie beli. Z kolei sieczkarnie polowe John Deere to precyzja cięcia i pełna kontrola nad strukturą mate</w:t>
      </w:r>
      <w:r w:rsidDel="00000000" w:rsidR="00000000" w:rsidRPr="00000000">
        <w:rPr>
          <w:rFonts w:ascii="Verdana" w:cs="Verdana" w:eastAsia="Verdana" w:hAnsi="Verdana"/>
          <w:i w:val="1"/>
          <w:highlight w:val="white"/>
          <w:rtl w:val="0"/>
        </w:rPr>
        <w:t xml:space="preserve">riału – a to przekłada się na wyższą wartość odżywczą i lepsze wyniki produkcyjne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 – kontynuuje Szymon Kaczmarek, specjalista produktowy John Deere Polska.</w:t>
      </w:r>
    </w:p>
    <w:p w:rsidR="00000000" w:rsidDel="00000000" w:rsidP="00000000" w:rsidRDefault="00000000" w:rsidRPr="00000000" w14:paraId="0000002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Przyszłość? Zdecydowanie teraz</w:t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Wzrosty cen, pozytywne prognozy i dostęp do nowoczesnych technologii sprawiają, że to idealny moment na rozwój gospodarstw nastawionych na produkcję zwierzęcą.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Inwestycja w maszyny John Deere to nie tylko odpowiedź na bieżące potrzeby – to realna szansa na zwiększenie efektywności pracy, lepsze wykorzystanie materiału, mniejsze zużycie paliwa i ograniczenie strat. To przygotowanie gospodarstwa na wyzwania kolejnych sezonów – z większą precyzją, oszczędnością i komfortem pracy.</w:t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jc w:val="both"/>
        <w:rPr>
          <w:rFonts w:ascii="Verdana" w:cs="Verdana" w:eastAsia="Verdana" w:hAnsi="Verdana"/>
          <w:i w:val="1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*</w:t>
      </w:r>
      <w:r w:rsidDel="00000000" w:rsidR="00000000" w:rsidRPr="00000000">
        <w:rPr>
          <w:rFonts w:ascii="Verdana" w:cs="Verdana" w:eastAsia="Verdana" w:hAnsi="Verdana"/>
          <w:i w:val="1"/>
          <w:sz w:val="18"/>
          <w:szCs w:val="18"/>
          <w:rtl w:val="0"/>
        </w:rPr>
        <w:t xml:space="preserve">Kwartalnik agrobiznesu. Wiosna 2025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, Credit Agricole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90825" cy="320675"/>
                <wp:effectExtent b="0" l="0" r="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90825" cy="320675"/>
                <wp:effectExtent b="0" l="0" r="0" t="0"/>
                <wp:wrapNone/>
                <wp:docPr id="2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0825" cy="320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2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28580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30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38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9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C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D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E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40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41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10172700</wp:posOffset>
              </wp:positionV>
              <wp:extent cx="7608570" cy="3206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10172700</wp:posOffset>
              </wp:positionV>
              <wp:extent cx="7608570" cy="3206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08570" cy="3206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3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-63495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28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44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before="60" w:lineRule="auto"/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7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48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49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B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ny" w:default="1">
    <w:name w:val="Normal"/>
    <w:qFormat w:val="1"/>
  </w:style>
  <w:style w:type="paragraph" w:styleId="Nagwek1">
    <w:name w:val="heading 1"/>
    <w:basedOn w:val="Normalny"/>
    <w:next w:val="Normalny"/>
    <w:link w:val="Nagwek1Znak"/>
    <w:uiPriority w:val="9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 w:val="1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Nagwek6">
    <w:name w:val="heading 6"/>
    <w:basedOn w:val="Normalny"/>
    <w:next w:val="Normalny"/>
    <w:link w:val="Nagwek6Znak"/>
    <w:uiPriority w:val="9"/>
    <w:semiHidden w:val="1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Tytu">
    <w:name w:val="Title"/>
    <w:basedOn w:val="Normalny"/>
    <w:next w:val="Normalny"/>
    <w:link w:val="TytuZnak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Light1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Siatkatabelijasna">
    <w:name w:val="Grid Table Light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Tabelasiatki1jasnaakcent1">
    <w:name w:val="Grid Table 1 Light Accent 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Tabelasiatki1jasnaakcent2">
    <w:name w:val="Grid Table 1 Light Accent 2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Tabelasiatki1jasnaakcent3">
    <w:name w:val="Grid Table 1 Light Accent 3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Tabelasiatki1jasnaakcent4">
    <w:name w:val="Grid Table 1 Light Accent 4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Tabelasiatki1jasnaakcent5">
    <w:name w:val="Grid Table 1 Light Accent 5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Tabelasiatki1jasnaakcent6">
    <w:name w:val="Grid Table 1 Light Accent 6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Tabelasiatki2akcent1">
    <w:name w:val="Grid Table 2 Accent 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Tabelasiatki2akcent2">
    <w:name w:val="Grid Table 2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2akcent3">
    <w:name w:val="Grid Table 2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2akcent4">
    <w:name w:val="Grid Table 2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2akcent5">
    <w:name w:val="Grid Table 2 Accent 5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2akcent6">
    <w:name w:val="Grid Table 2 Accent 6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3akcent1">
    <w:name w:val="Grid Table 3 Accent 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Tabelasiatki3akcent2">
    <w:name w:val="Grid Table 3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3akcent3">
    <w:name w:val="Grid Table 3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3akcent4">
    <w:name w:val="Grid Table 3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3akcent5">
    <w:name w:val="Grid Table 3 Accent 5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3akcent6">
    <w:name w:val="Grid Table 3 Accent 6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4akcent1">
    <w:name w:val="Grid Table 4 Accent 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Tabelasiatki4akcent2">
    <w:name w:val="Grid Table 4 Accent 2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4akcent3">
    <w:name w:val="Grid Table 4 Accent 3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4akcent4">
    <w:name w:val="Grid Table 4 Accent 4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4akcent5">
    <w:name w:val="Grid Table 4 Accent 5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4akcent6">
    <w:name w:val="Grid Table 4 Accent 6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5ciemnaakcent2">
    <w:name w:val="Grid Table 5 Dark Accent 2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Tabelasiatki5ciemnaakcent3">
    <w:name w:val="Grid Table 5 Dark Accent 3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Tabelasiatki5ciemnaakcent5">
    <w:name w:val="Grid Table 5 Dark Accent 5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Tabelasiatki5ciemnaakcent6">
    <w:name w:val="Grid Table 5 Dark Accent 6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Tabelasiatki6kolorowaakcent1">
    <w:name w:val="Grid Table 6 Colorful Accent 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Tabelasiatki6kolorowaakcent2">
    <w:name w:val="Grid Table 6 Colorful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siatki6kolorowaakcent3">
    <w:name w:val="Grid Table 6 Colorful Accent 3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Tabelasiatki6kolorowaakcent4">
    <w:name w:val="Grid Table 6 Colorful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siatki6kolorowaakcent5">
    <w:name w:val="Grid Table 6 Colorful Accent 5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6kolorowaakcent6">
    <w:name w:val="Grid Table 6 Colorful Accent 6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akcent1">
    <w:name w:val="Grid Table 7 Colorful Accent 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Tabelasiatki7kolorowaakcent2">
    <w:name w:val="Grid Table 7 Colorful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siatki7kolorowaakcent3">
    <w:name w:val="Grid Table 7 Colorful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Tabelasiatki7kolorowaakcent4">
    <w:name w:val="Grid Table 7 Colorful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siatki7kolorowaakcent5">
    <w:name w:val="Grid Table 7 Colorful Accent 5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akcent6">
    <w:name w:val="Grid Table 7 Colorful Accent 6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Tabelalisty1jasnaakcent1">
    <w:name w:val="List Table 1 Light Accent 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1jasnaakcent2">
    <w:name w:val="List Table 1 Light Accent 2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1jasnaakcent3">
    <w:name w:val="List Table 1 Light Accent 3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1jasnaakcent4">
    <w:name w:val="List Table 1 Light Accent 4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1jasnaakcent5">
    <w:name w:val="List Table 1 Light Accent 5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1jasnaakcent6">
    <w:name w:val="List Table 1 Light Accent 6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2akcent1">
    <w:name w:val="List Table 2 Accent 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2akcent2">
    <w:name w:val="List Table 2 Accent 2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2akcent3">
    <w:name w:val="List Table 2 Accent 3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2akcent4">
    <w:name w:val="List Table 2 Accent 4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2akcent5">
    <w:name w:val="List Table 2 Accent 5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2akcent6">
    <w:name w:val="List Table 2 Accent 6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3akcent1">
    <w:name w:val="List Table 3 Accent 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Tabelalisty3akcent2">
    <w:name w:val="List Table 3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Tabelalisty3akcent3">
    <w:name w:val="List Table 3 Accent 3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Tabelalisty3akcent4">
    <w:name w:val="List Table 3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Tabelalisty3akcent5">
    <w:name w:val="List Table 3 Accent 5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Tabelalisty3akcent6">
    <w:name w:val="List Table 3 Accent 6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Tabelalisty4akcent1">
    <w:name w:val="List Table 4 Accent 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4akcent2">
    <w:name w:val="List Table 4 Accent 2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4akcent3">
    <w:name w:val="List Table 4 Accent 3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4akcent4">
    <w:name w:val="List Table 4 Accent 4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4akcent5">
    <w:name w:val="List Table 4 Accent 5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4akcent6">
    <w:name w:val="List Table 4 Accent 6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5ciemnaakcent1">
    <w:name w:val="List Table 5 Dark Accent 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Tabelalisty5ciemnaakcent2">
    <w:name w:val="List Table 5 Dark Accent 2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Tabelalisty5ciemnaakcent3">
    <w:name w:val="List Table 5 Dark Accent 3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Tabelalisty5ciemnaakcent4">
    <w:name w:val="List Table 5 Dark Accent 4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Tabelalisty5ciemnaakcent5">
    <w:name w:val="List Table 5 Dark Accent 5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Tabelalisty5ciemnaakcent6">
    <w:name w:val="List Table 5 Dark Accent 6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Tabelalisty6kolorowaakcent1">
    <w:name w:val="List Table 6 Colorful Accent 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Tabelalisty6kolorowaakcent2">
    <w:name w:val="List Table 6 Colorful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listy6kolorowaakcent3">
    <w:name w:val="List Table 6 Colorful Accent 3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Tabelalisty6kolorowaakcent4">
    <w:name w:val="List Table 6 Colorful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listy6kolorowaakcent5">
    <w:name w:val="List Table 6 Colorful Accent 5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Tabelalisty6kolorowaakcent6">
    <w:name w:val="List Table 6 Colorful Accent 6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elalisty7kolorowaakcent1">
    <w:name w:val="List Table 7 Colorful Accent 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Tabelalisty7kolorowaakcent2">
    <w:name w:val="List Table 7 Colorful Accent 2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listy7kolorowaakcent3">
    <w:name w:val="List Table 7 Colorful Accent 3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Tabelalisty7kolorowaakcent4">
    <w:name w:val="List Table 7 Colorful Accent 4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listy7kolorowaakcent5">
    <w:name w:val="List Table 7 Colorful Accent 5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Tabelalisty7kolorowaakcent6">
    <w:name w:val="List Table 7 Colorful Accent 6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2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omylnaczcionkaakapitu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omylnaczcionkaakapitu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omylnaczcionkaakapitu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omylnaczcionkaakapitu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omylnaczcionkaakapitu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omylnaczcionkaakapitu"/>
    <w:uiPriority w:val="10"/>
    <w:rPr>
      <w:sz w:val="48"/>
      <w:szCs w:val="48"/>
    </w:rPr>
  </w:style>
  <w:style w:type="character" w:styleId="SubtitleChar" w:customStyle="1">
    <w:name w:val="Subtitle Char"/>
    <w:basedOn w:val="Domylnaczcionkaakapitu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3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3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3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3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3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3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3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3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3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3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3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3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3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3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3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3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3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3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3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3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3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3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3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3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3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3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3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3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3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3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3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3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3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3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3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3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3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3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3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3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3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3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3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3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3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3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3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3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3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3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3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3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3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omylnaczcionkaakapitu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omylnaczcionkaakapitu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omylnaczcionkaakapitu"/>
    <w:uiPriority w:val="9"/>
    <w:rPr>
      <w:rFonts w:ascii="Arial" w:cs="Arial" w:eastAsia="Arial" w:hAnsi="Arial"/>
      <w:sz w:val="30"/>
      <w:szCs w:val="30"/>
    </w:rPr>
  </w:style>
  <w:style w:type="character" w:styleId="Nagwek4Znak" w:customStyle="1">
    <w:name w:val="Nagłówek 4 Znak"/>
    <w:basedOn w:val="Domylnaczcionkaakapitu"/>
    <w:link w:val="Nagwek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omylnaczcionkaakapitu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Nagwek6Znak" w:customStyle="1">
    <w:name w:val="Nagłówek 6 Znak"/>
    <w:basedOn w:val="Domylnaczcionkaakapitu"/>
    <w:link w:val="Nagwek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Nagwek7Znak" w:customStyle="1">
    <w:name w:val="Nagłówek 7 Znak"/>
    <w:basedOn w:val="Domylnaczcionkaakapitu"/>
    <w:link w:val="Nagwek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Nagwek8Znak" w:customStyle="1">
    <w:name w:val="Nagłówek 8 Znak"/>
    <w:basedOn w:val="Domylnaczcionkaakapitu"/>
    <w:link w:val="Nagwek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Nagwek9Znak" w:customStyle="1">
    <w:name w:val="Nagłówek 9 Znak"/>
    <w:basedOn w:val="Domylnaczcionkaakapitu"/>
    <w:link w:val="Nagwek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ytuZnak" w:customStyle="1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 w:val="1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/>
    </w:pPr>
    <w:rPr>
      <w:color w:val="000000"/>
      <w:sz w:val="24"/>
      <w:szCs w:val="24"/>
    </w:rPr>
  </w:style>
  <w:style w:type="character" w:styleId="PodtytuZnak" w:customStyle="1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 w:val="1"/>
    <w:pPr>
      <w:ind w:left="720" w:right="720"/>
    </w:pPr>
    <w:rPr>
      <w:i w:val="1"/>
    </w:rPr>
  </w:style>
  <w:style w:type="character" w:styleId="CytatZnak" w:customStyle="1">
    <w:name w:val="Cytat Znak"/>
    <w:link w:val="Cytat"/>
    <w:uiPriority w:val="29"/>
    <w:rPr>
      <w:i w:val="1"/>
    </w:rPr>
  </w:style>
  <w:style w:type="paragraph" w:styleId="Cytatintensywny">
    <w:name w:val="Intense Quote"/>
    <w:basedOn w:val="Normalny"/>
    <w:next w:val="Normalny"/>
    <w:link w:val="CytatintensywnyZnak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CytatintensywnyZnak" w:customStyle="1">
    <w:name w:val="Cytat intensywny Znak"/>
    <w:link w:val="Cytatintensywny"/>
    <w:uiPriority w:val="30"/>
    <w:rPr>
      <w:i w:val="1"/>
    </w:rPr>
  </w:style>
  <w:style w:type="character" w:styleId="HeaderChar" w:customStyle="1">
    <w:name w:val="Header Char"/>
    <w:basedOn w:val="Domylnaczcionkaakapitu"/>
    <w:uiPriority w:val="99"/>
  </w:style>
  <w:style w:type="character" w:styleId="FooterChar" w:customStyle="1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4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Zwykatabela1">
    <w:name w:val="Plain Table 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Zwykatabela2">
    <w:name w:val="Plain Table 2"/>
    <w:basedOn w:val="Standardowy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4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4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4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4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4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4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4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4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4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4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4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4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4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4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4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4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4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4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4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4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4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4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4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4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4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4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4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4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4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4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4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4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4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4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4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4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4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4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4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4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4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4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4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4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4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4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4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4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4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4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4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4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4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4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4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4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4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4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4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4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4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4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4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4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4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4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4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4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4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4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4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4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4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4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4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4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4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4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4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4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4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4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Standardowy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 w:val="1"/>
    <w:unhideWhenUsed w:val="1"/>
    <w:pPr>
      <w:spacing w:after="40"/>
    </w:pPr>
    <w:rPr>
      <w:sz w:val="18"/>
    </w:rPr>
  </w:style>
  <w:style w:type="character" w:styleId="TekstprzypisudolnegoZnak" w:customStyle="1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 w:val="1"/>
    <w:pPr>
      <w:spacing w:after="57"/>
    </w:pPr>
  </w:style>
  <w:style w:type="paragraph" w:styleId="Spistreci2">
    <w:name w:val="toc 2"/>
    <w:basedOn w:val="Normalny"/>
    <w:next w:val="Normalny"/>
    <w:uiPriority w:val="39"/>
    <w:unhideWhenUsed w:val="1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 w:val="1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 w:val="1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 w:val="1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 w:val="1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 w:val="1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 w:val="1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 w:val="1"/>
    <w:pPr>
      <w:spacing w:after="57"/>
      <w:ind w:left="2268"/>
    </w:pPr>
  </w:style>
  <w:style w:type="paragraph" w:styleId="Nagwekspisutreci">
    <w:name w:val="TOC Heading"/>
    <w:uiPriority w:val="39"/>
    <w:unhideWhenUsed w:val="1"/>
  </w:style>
  <w:style w:type="paragraph" w:styleId="Spisilustracji">
    <w:name w:val="table of figures"/>
    <w:basedOn w:val="Normalny"/>
    <w:next w:val="Normalny"/>
    <w:uiPriority w:val="99"/>
    <w:unhideWhenUsed w:val="1"/>
  </w:style>
  <w:style w:type="character" w:styleId="Nagwek1Znak" w:customStyle="1">
    <w:name w:val="Nagłówek 1 Znak"/>
    <w:basedOn w:val="Domylnaczcionkaakapitu"/>
    <w:link w:val="Nagwek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styleId="NagwekZnak" w:customStyle="1">
    <w:name w:val="Nagłówek Znak"/>
    <w:basedOn w:val="Domylnaczcionkaakapitu"/>
    <w:link w:val="Nagwek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styleId="StopkaZnak" w:customStyle="1">
    <w:name w:val="Stopka Znak"/>
    <w:basedOn w:val="Domylnaczcionkaakapitu"/>
    <w:link w:val="Stopka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styleId="TekstpodstawowyZnak" w:customStyle="1">
    <w:name w:val="Tekst podstawowy Znak"/>
    <w:basedOn w:val="Domylnaczcionkaakapitu"/>
    <w:link w:val="Tekstpodstawowy"/>
    <w:rPr>
      <w:rFonts w:ascii="Arial" w:cs="Times New Roman" w:eastAsia="Times New Roman" w:hAnsi="Arial"/>
      <w:sz w:val="16"/>
      <w:szCs w:val="20"/>
      <w:lang w:eastAsia="pl-PL"/>
    </w:rPr>
  </w:style>
  <w:style w:type="paragraph" w:styleId="Bezodstpw">
    <w:name w:val="No Spacing"/>
    <w:uiPriority w:val="1"/>
    <w:qFormat w:val="1"/>
  </w:style>
  <w:style w:type="paragraph" w:styleId="paragraph" w:customStyle="1">
    <w:name w:val="paragraph"/>
    <w:basedOn w:val="Normalny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character" w:styleId="UyteHipercze">
    <w:name w:val="FollowedHyperlink"/>
    <w:basedOn w:val="Domylnaczcionkaakapitu"/>
    <w:uiPriority w:val="99"/>
    <w:semiHidden w:val="1"/>
    <w:unhideWhenUsed w:val="1"/>
    <w:rPr>
      <w:color w:val="954f72" w:themeColor="followedHyperlink"/>
      <w:u w:val="single"/>
    </w:rPr>
  </w:style>
  <w:style w:type="character" w:styleId="Nagwek5Znak" w:customStyle="1">
    <w:name w:val="Nagłówek 5 Znak"/>
    <w:basedOn w:val="Domylnaczcionkaakapitu"/>
    <w:link w:val="Nagwek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Nagwek2Znak" w:customStyle="1">
    <w:name w:val="Nagłówek 2 Znak"/>
    <w:basedOn w:val="Domylnaczcionkaakapitu"/>
    <w:link w:val="Nagwek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Nagwek3Znak" w:customStyle="1">
    <w:name w:val="Nagłówek 3 Znak"/>
    <w:basedOn w:val="Domylnaczcionkaakapitu"/>
    <w:link w:val="Nagwek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 w:val="1"/>
  </w:style>
  <w:style w:type="character" w:styleId="TekstkomentarzaZnak" w:customStyle="1">
    <w:name w:val="Tekst komentarza Znak"/>
    <w:basedOn w:val="Domylnaczcionkaakapitu"/>
    <w:link w:val="Tekstkomentarza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 w:val="1"/>
    <w:rPr>
      <w:i w:val="1"/>
      <w:iCs w:val="1"/>
    </w:rPr>
  </w:style>
  <w:style w:type="character" w:styleId="Pogrubienie">
    <w:name w:val="Strong"/>
    <w:basedOn w:val="Domylnaczcionkaakapitu"/>
    <w:uiPriority w:val="22"/>
    <w:qFormat w:val="1"/>
    <w:rPr>
      <w:b w:val="1"/>
      <w:bCs w:val="1"/>
    </w:rPr>
  </w:style>
  <w:style w:type="table" w:styleId="Tabela-Siatka">
    <w:name w:val="Table Grid"/>
    <w:basedOn w:val="Standardowy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 w:val="1"/>
    <w:unhideWhenUsed w:val="1"/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omylnaczcionkaakapitu"/>
  </w:style>
  <w:style w:type="paragraph" w:styleId="Poprawka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ny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0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left w:w="198.0" w:type="dxa"/>
        <w:right w:w="198.0" w:type="dxa"/>
      </w:tblCellMar>
    </w:tbl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 w:lineRule="auto"/>
    </w:pPr>
    <w:rPr>
      <w:color w:val="000000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rUaeAoLLo60XyBpLpoiN7VuG8Q==">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2025-04-23T06:37:00Z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