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Małe kroki – wielkie rezultaty, czyli jak podnieść poziom pracy przed sezonem</w:t>
      </w:r>
    </w:p>
    <w:p w:rsidR="00000000" w:rsidDel="00000000" w:rsidP="00000000" w:rsidRDefault="00000000" w:rsidRPr="00000000" w14:paraId="0000000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numPr>
          <w:ilvl w:val="0"/>
          <w:numId w:val="1"/>
        </w:numPr>
        <w:pBdr>
          <w:top w:color="000000" w:space="0" w:sz="0" w:val="none"/>
          <w:left w:color="000000" w:space="0" w:sz="0" w:val="none"/>
          <w:bottom w:color="000000" w:space="0" w:sz="0" w:val="none"/>
          <w:right w:color="000000" w:space="0" w:sz="0" w:val="none"/>
          <w:between w:color="000000" w:space="0" w:sz="0" w:val="none"/>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Kończący się I kwartał roku to dobry moment na wykonanie kilku kroków, które pomogą w pracy w trakcie zbliżającego się sezonu.</w:t>
      </w:r>
    </w:p>
    <w:p w:rsidR="00000000" w:rsidDel="00000000" w:rsidP="00000000" w:rsidRDefault="00000000" w:rsidRPr="00000000" w14:paraId="00000006">
      <w:pPr>
        <w:numPr>
          <w:ilvl w:val="0"/>
          <w:numId w:val="1"/>
        </w:numPr>
        <w:pBdr>
          <w:top w:color="000000" w:space="0" w:sz="0" w:val="none"/>
          <w:left w:color="000000" w:space="0" w:sz="0" w:val="none"/>
          <w:bottom w:color="000000" w:space="0" w:sz="0" w:val="none"/>
          <w:right w:color="000000" w:space="0" w:sz="0" w:val="none"/>
          <w:between w:color="000000" w:space="0" w:sz="0" w:val="none"/>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Warto zająć się doposażeniem maszyn w nowy funkcjonalny wyświetlacz czy wdrożeniem czujnika HarvestLab</w:t>
      </w:r>
      <w:r w:rsidDel="00000000" w:rsidR="00000000" w:rsidRPr="00000000">
        <w:rPr>
          <w:rFonts w:ascii="Verdana" w:cs="Verdana" w:eastAsia="Verdana" w:hAnsi="Verdana"/>
          <w:b w:val="1"/>
          <w:sz w:val="22"/>
          <w:szCs w:val="22"/>
          <w:vertAlign w:val="superscript"/>
          <w:rtl w:val="0"/>
        </w:rPr>
        <w:t xml:space="preserve">TM</w:t>
      </w:r>
      <w:r w:rsidDel="00000000" w:rsidR="00000000" w:rsidRPr="00000000">
        <w:rPr>
          <w:rFonts w:ascii="Verdana" w:cs="Verdana" w:eastAsia="Verdana" w:hAnsi="Verdana"/>
          <w:b w:val="1"/>
          <w:sz w:val="22"/>
          <w:szCs w:val="22"/>
          <w:rtl w:val="0"/>
        </w:rPr>
        <w:t xml:space="preserve">.</w:t>
      </w:r>
    </w:p>
    <w:p w:rsidR="00000000" w:rsidDel="00000000" w:rsidP="00000000" w:rsidRDefault="00000000" w:rsidRPr="00000000" w14:paraId="00000007">
      <w:pPr>
        <w:numPr>
          <w:ilvl w:val="0"/>
          <w:numId w:val="1"/>
        </w:numPr>
        <w:pBdr>
          <w:top w:color="000000" w:space="0" w:sz="0" w:val="none"/>
          <w:left w:color="000000" w:space="0" w:sz="0" w:val="none"/>
          <w:bottom w:color="000000" w:space="0" w:sz="0" w:val="none"/>
          <w:right w:color="000000" w:space="0" w:sz="0" w:val="none"/>
          <w:between w:color="000000" w:space="0" w:sz="0" w:val="none"/>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Nowości mogą być montowane także w starszych modelach maszyn.</w:t>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Kilkuletnia maszyna z nowym wyświetlaczem?</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Żniwa są okresem, w którym liczą się detale. To one mogą mieć znaczenie na każdym etapie, od przygotowania maszyny aż po komfort operatora. To z kolei może istotnie zmienić tempo pracy – operator korzystający z funkcjonalnej maszyny wyposażonej </w:t>
        <w:br w:type="textWrapping"/>
        <w:t xml:space="preserve">w nowoczesne rozwiązania, z pewnością będzie pracował sprawniej i z większym entuzjazmem. Dlatego też warto jeszcze przed sezonem zadbać o operatorów. Jednym ze sposobów, które warto rozważyć, jest doposażenie maszyny w nowy uniwersalny wyświetlacz G5Plus. Jest to możliwe w przypadku kombajnów serii W i T z lat modelowych 2014–2023.</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efekcie dzięki wdrożeniu specjalnego zestawu modernizacyjnego, użytkownik otrzymuje szerszy wyświetlacz dotykowy o przekątnej 32,5 cm (12,8 cala), udostępniający większy widok mapy i więcej informacji, co z kolei zaowocuje wyraźniejszym i jaśniejszym ekranem i obrazem o rozdzielczości Full HD 1080p.</w:t>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Fonts w:ascii="Verdana" w:cs="Verdana" w:eastAsia="Verdana" w:hAnsi="Verdana"/>
          <w:i w:val="1"/>
          <w:rtl w:val="0"/>
        </w:rPr>
        <w:t xml:space="preserve">– To niewątpliwie czynnik, który odmieni pracę operatora maszyny. Nowsza wersja wyświetlacza G5Plus gwarantuje zwiększoną moc obliczeniową, umożliwiającą szybsze uruchamianie, import i reakcję na dotyk. Informacje o wielkości i jakości plonu zostananą przesłane do John Deere Operations Center bez zbędnej zwłoki – nowy wyświetlacz G5Plus zapewnia bardzo szybki transfer danych. Łatwość użytkowania i funkcjonalność są tu podobne do wyświetlaczy czwartej generacji. Co ważne korzystanie z urządzenia jest na tyle intuicyjne, że nie trzeba szkolić operatorów w zakresie obsługi wyświetlaczy, jeśli są już zaznajomieni z ich poprzednią wersją </w:t>
      </w:r>
      <w:r w:rsidDel="00000000" w:rsidR="00000000" w:rsidRPr="00000000">
        <w:rPr>
          <w:rFonts w:ascii="Verdana" w:cs="Verdana" w:eastAsia="Verdana" w:hAnsi="Verdana"/>
          <w:rtl w:val="0"/>
        </w:rPr>
        <w:t xml:space="preserve">– mówi </w:t>
      </w:r>
      <w:r w:rsidDel="00000000" w:rsidR="00000000" w:rsidRPr="00000000">
        <w:rPr>
          <w:rFonts w:ascii="Verdana" w:cs="Verdana" w:eastAsia="Verdana" w:hAnsi="Verdana"/>
          <w:b w:val="1"/>
          <w:rtl w:val="0"/>
        </w:rPr>
        <w:t xml:space="preserve">Mateusz Janicki, specjalista ds. Maszyn Żniwnych w John Deere Polska.</w:t>
      </w: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Użytkownicy z pewnością zwrócą uwagę na dodatkowe przyciski paska skrótów widoczne z poziomu strony zadania, które mogą zostać dostosowane do preferencji użytkownika. Co więcej, wyświetlacz jest smukły, cechuje się eleganckim czarnym designem, przez co bywa porównywany przez klientów do smartfonów i tabletów.</w:t>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Dzięki wdrożeniu użytkownicy otrzymują dostęp do kluczowych funkcji stałej licencji Precision Ag udzielanej przy zakupie maszyny, która obejmuje system AutoTrac™, tworzenie dokumentacji (Documentation), sterowanie sekcjami (Section Control), Data Sync, czyli możliwości bezprzewodowych aktualizacji oprogramowania.</w:t>
      </w:r>
    </w:p>
    <w:p w:rsidR="00000000" w:rsidDel="00000000" w:rsidP="00000000" w:rsidRDefault="00000000" w:rsidRPr="00000000" w14:paraId="0000001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Doposażenie starszego kombajnu serii W lub T za pomocą zestawu modernizacyjnego wyświetlacza uniwersalnego G5Plus pozwoli klientowi korzystać z możliwości oferowanych przez najnowsze technologie John Deere wchodzące w skład licencji G5 Advanced. Systemy automatyzacji rolnictwa, takie jak AutoTrac™ i AutoPath™, eliminują stres i zwiększają precyzję pracy w polu, zapewniając idealnie proste przejazdy i optymalne wykorzystanie terenu. Dzięki AutoTrac™ Implement Guidance możliwe jest dokładne dozowanie nasion, nawozów i środków chemicznych, niezależnie od ukształtowania terenu. Machine Sync usprawnia rozładunek ziarna w ruchu, a funkcja In-Field Data Sharing pozwala na bezproblemową wymianę danych między maszynami.</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HarvestLab</w:t>
      </w:r>
      <w:r w:rsidDel="00000000" w:rsidR="00000000" w:rsidRPr="00000000">
        <w:rPr>
          <w:rFonts w:ascii="Verdana" w:cs="Verdana" w:eastAsia="Verdana" w:hAnsi="Verdana"/>
          <w:b w:val="1"/>
          <w:sz w:val="22"/>
          <w:szCs w:val="22"/>
          <w:vertAlign w:val="superscript"/>
          <w:rtl w:val="0"/>
        </w:rPr>
        <w:t xml:space="preserve">TM</w:t>
      </w:r>
      <w:r w:rsidDel="00000000" w:rsidR="00000000" w:rsidRPr="00000000">
        <w:rPr>
          <w:rFonts w:ascii="Verdana" w:cs="Verdana" w:eastAsia="Verdana" w:hAnsi="Verdana"/>
          <w:b w:val="1"/>
          <w:rtl w:val="0"/>
        </w:rPr>
        <w:t xml:space="preserve"> – czas wejść na wyższy poziom</w:t>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Praca w rozpoczynającym się sezonie, a więc i w trakcie nadchodzących żniw, może być wykonana w zupełnie nowym trybie dzięki wdrożeniu HarvestLab</w:t>
      </w:r>
      <w:r w:rsidDel="00000000" w:rsidR="00000000" w:rsidRPr="00000000">
        <w:rPr>
          <w:rFonts w:ascii="Verdana" w:cs="Verdana" w:eastAsia="Verdana" w:hAnsi="Verdana"/>
          <w:sz w:val="22"/>
          <w:szCs w:val="22"/>
          <w:vertAlign w:val="superscript"/>
          <w:rtl w:val="0"/>
        </w:rPr>
        <w:t xml:space="preserve">TM</w:t>
      </w:r>
      <w:r w:rsidDel="00000000" w:rsidR="00000000" w:rsidRPr="00000000">
        <w:rPr>
          <w:rFonts w:ascii="Verdana" w:cs="Verdana" w:eastAsia="Verdana" w:hAnsi="Verdana"/>
          <w:rtl w:val="0"/>
        </w:rPr>
        <w:t xml:space="preserve"> 3000. zestaw od John Deere jest kompatybilny ze wszystkimi kombajnami z roku modelowego 2025 T5/T6, S7 oraz X9. Co ważne, zestaw może być montowany w starszych modelach w ramach modernizacji, dzięki dostosowaniu do różnych wiązek przewodów.</w:t>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b w:val="1"/>
        </w:rPr>
      </w:pPr>
      <w:r w:rsidDel="00000000" w:rsidR="00000000" w:rsidRPr="00000000">
        <w:rPr>
          <w:rFonts w:ascii="Verdana" w:cs="Verdana" w:eastAsia="Verdana" w:hAnsi="Verdana"/>
          <w:i w:val="1"/>
          <w:rtl w:val="0"/>
        </w:rPr>
        <w:t xml:space="preserve">– HarvestLab</w:t>
      </w:r>
      <w:r w:rsidDel="00000000" w:rsidR="00000000" w:rsidRPr="00000000">
        <w:rPr>
          <w:rFonts w:ascii="Verdana" w:cs="Verdana" w:eastAsia="Verdana" w:hAnsi="Verdana"/>
          <w:i w:val="1"/>
          <w:sz w:val="22"/>
          <w:szCs w:val="22"/>
          <w:vertAlign w:val="superscript"/>
          <w:rtl w:val="0"/>
        </w:rPr>
        <w:t xml:space="preserve">TM</w:t>
      </w:r>
      <w:r w:rsidDel="00000000" w:rsidR="00000000" w:rsidRPr="00000000">
        <w:rPr>
          <w:rFonts w:ascii="Verdana" w:cs="Verdana" w:eastAsia="Verdana" w:hAnsi="Verdana"/>
          <w:i w:val="1"/>
          <w:rtl w:val="0"/>
        </w:rPr>
        <w:t xml:space="preserve"> pomaga rolnikom uzyskać jakże ważną informację zwrotną dotyczącą jakości ich plonów – analiza zawartości składników pokarmowych ziarna pełni funkcję punktu kontroli jakości, pomagając producentom wybrać najlepsze odmiany, i potwierdzić ich  charakterystykę.</w:t>
      </w:r>
      <w:r w:rsidDel="00000000" w:rsidR="00000000" w:rsidRPr="00000000">
        <w:rPr>
          <w:i w:val="1"/>
          <w:rtl w:val="0"/>
        </w:rPr>
        <w:t xml:space="preserve"> </w:t>
      </w:r>
      <w:r w:rsidDel="00000000" w:rsidR="00000000" w:rsidRPr="00000000">
        <w:rPr>
          <w:rFonts w:ascii="Verdana" w:cs="Verdana" w:eastAsia="Verdana" w:hAnsi="Verdana"/>
          <w:i w:val="1"/>
          <w:rtl w:val="0"/>
        </w:rPr>
        <w:t xml:space="preserve">Zestaw do analizy składników pokarmowych ziarna dostarcza również cennych informacji, dzięki którym w gospodarstwie można zastosować zmienne nawożenie, co przekłada się na wymierne korzyści finansowe oraz ochronę środowiska. Dzięki HarvestLab</w:t>
      </w:r>
      <w:r w:rsidDel="00000000" w:rsidR="00000000" w:rsidRPr="00000000">
        <w:rPr>
          <w:rFonts w:ascii="Verdana" w:cs="Verdana" w:eastAsia="Verdana" w:hAnsi="Verdana"/>
          <w:i w:val="1"/>
          <w:sz w:val="22"/>
          <w:szCs w:val="22"/>
          <w:vertAlign w:val="superscript"/>
          <w:rtl w:val="0"/>
        </w:rPr>
        <w:t xml:space="preserve">TM</w:t>
      </w:r>
      <w:r w:rsidDel="00000000" w:rsidR="00000000" w:rsidRPr="00000000">
        <w:rPr>
          <w:rFonts w:ascii="Verdana" w:cs="Verdana" w:eastAsia="Verdana" w:hAnsi="Verdana"/>
          <w:i w:val="1"/>
          <w:rtl w:val="0"/>
        </w:rPr>
        <w:t xml:space="preserve"> rolnicy od razu wiedzą, czy zebrana pszenica nadaje się na cele konsumpcyjne czy na paszę, mogą więc przechowywać poszczególne partie ziarna w oddzielnych magazynach według jakości, a także wiedzą, do kogo kierować ofertę sprzedaży. Dzięki danym zebranym przez HarvestLab</w:t>
      </w:r>
      <w:r w:rsidDel="00000000" w:rsidR="00000000" w:rsidRPr="00000000">
        <w:rPr>
          <w:rFonts w:ascii="Verdana" w:cs="Verdana" w:eastAsia="Verdana" w:hAnsi="Verdana"/>
          <w:sz w:val="22"/>
          <w:szCs w:val="22"/>
          <w:vertAlign w:val="superscript"/>
          <w:rtl w:val="0"/>
        </w:rPr>
        <w:t xml:space="preserve">TM </w:t>
      </w:r>
      <w:r w:rsidDel="00000000" w:rsidR="00000000" w:rsidRPr="00000000">
        <w:rPr>
          <w:rFonts w:ascii="Verdana" w:cs="Verdana" w:eastAsia="Verdana" w:hAnsi="Verdana"/>
          <w:rtl w:val="0"/>
        </w:rPr>
        <w:t xml:space="preserve">rolnicy mogą zwiększyć swoją efektywność, a co za tym idzie zysk z prowadzonej działalności – wymienia </w:t>
      </w:r>
      <w:r w:rsidDel="00000000" w:rsidR="00000000" w:rsidRPr="00000000">
        <w:rPr>
          <w:rFonts w:ascii="Verdana" w:cs="Verdana" w:eastAsia="Verdana" w:hAnsi="Verdana"/>
          <w:b w:val="1"/>
          <w:rtl w:val="0"/>
        </w:rPr>
        <w:t xml:space="preserve">Mateusz Janicki, specjalista ds. Maszyn Żniwnych w John Deere Polska.</w:t>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pBdr>
          <w:top w:color="000000" w:space="0" w:sz="0" w:val="none"/>
          <w:left w:color="000000" w:space="0" w:sz="0" w:val="none"/>
          <w:bottom w:color="000000" w:space="0" w:sz="0" w:val="none"/>
          <w:right w:color="000000" w:space="0" w:sz="0" w:val="none"/>
        </w:pBdr>
        <w:jc w:val="both"/>
        <w:rPr>
          <w:rFonts w:ascii="Verdana" w:cs="Verdana" w:eastAsia="Verdana" w:hAnsi="Verdana"/>
        </w:rPr>
      </w:pPr>
      <w:r w:rsidDel="00000000" w:rsidR="00000000" w:rsidRPr="00000000">
        <w:rPr>
          <w:rFonts w:ascii="Verdana" w:cs="Verdana" w:eastAsia="Verdana" w:hAnsi="Verdana"/>
          <w:rtl w:val="0"/>
        </w:rPr>
        <w:t xml:space="preserve">Rozwiązanie HarvestLab</w:t>
      </w:r>
      <w:r w:rsidDel="00000000" w:rsidR="00000000" w:rsidRPr="00000000">
        <w:rPr>
          <w:rFonts w:ascii="Verdana" w:cs="Verdana" w:eastAsia="Verdana" w:hAnsi="Verdana"/>
          <w:sz w:val="22"/>
          <w:szCs w:val="22"/>
          <w:vertAlign w:val="superscript"/>
          <w:rtl w:val="0"/>
        </w:rPr>
        <w:t xml:space="preserve">TM</w:t>
      </w:r>
      <w:r w:rsidDel="00000000" w:rsidR="00000000" w:rsidRPr="00000000">
        <w:rPr>
          <w:rFonts w:ascii="Verdana" w:cs="Verdana" w:eastAsia="Verdana" w:hAnsi="Verdana"/>
          <w:rtl w:val="0"/>
        </w:rPr>
        <w:t xml:space="preserve"> 3000 wcześniej było dobrze znane z zastosowań w samojezdnych sieczkarniach polowych, użytku stacjonarnym i analizie składu gnojowicy (Manure Sensing). Teraz w Grain Sensing (analiza ziarna) mocno usprawnia pracę podczas zbioru zbóż i rzepaku. </w:t>
      </w:r>
    </w:p>
    <w:p w:rsidR="00000000" w:rsidDel="00000000" w:rsidP="00000000" w:rsidRDefault="00000000" w:rsidRPr="00000000" w14:paraId="00000020">
      <w:pPr>
        <w:pBdr>
          <w:top w:color="000000" w:space="0" w:sz="0" w:val="none"/>
          <w:left w:color="000000" w:space="0" w:sz="0" w:val="none"/>
          <w:bottom w:color="000000" w:space="0" w:sz="0" w:val="none"/>
          <w:right w:color="000000" w:space="0" w:sz="0" w:val="none"/>
        </w:pBdr>
        <w:jc w:val="both"/>
        <w:rPr>
          <w:rFonts w:ascii="Verdana" w:cs="Verdana" w:eastAsia="Verdana" w:hAnsi="Verdana"/>
        </w:rPr>
      </w:pPr>
      <w:r w:rsidDel="00000000" w:rsidR="00000000" w:rsidRPr="00000000">
        <w:rPr>
          <w:rtl w:val="0"/>
        </w:rPr>
      </w:r>
    </w:p>
    <w:p w:rsidR="00000000" w:rsidDel="00000000" w:rsidP="00000000" w:rsidRDefault="00000000" w:rsidRPr="00000000" w14:paraId="00000021">
      <w:pPr>
        <w:pBdr>
          <w:top w:color="000000" w:space="0" w:sz="0" w:val="none"/>
          <w:left w:color="000000" w:space="0" w:sz="0" w:val="none"/>
          <w:bottom w:color="000000" w:space="0" w:sz="0" w:val="none"/>
          <w:right w:color="000000" w:space="0" w:sz="0" w:val="none"/>
        </w:pBdr>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pBdr>
          <w:top w:color="000000" w:space="0" w:sz="0" w:val="none"/>
          <w:left w:color="000000" w:space="0" w:sz="0" w:val="none"/>
          <w:bottom w:color="000000" w:space="0" w:sz="0" w:val="none"/>
          <w:right w:color="000000" w:space="0" w:sz="0" w:val="none"/>
        </w:pBdr>
        <w:rPr/>
      </w:pPr>
      <w:r w:rsidDel="00000000" w:rsidR="00000000" w:rsidRPr="00000000">
        <w:rPr>
          <w:rtl w:val="0"/>
        </w:rPr>
      </w:r>
    </w:p>
    <w:p w:rsidR="00000000" w:rsidDel="00000000" w:rsidP="00000000" w:rsidRDefault="00000000" w:rsidRPr="00000000" w14:paraId="00000023">
      <w:pPr>
        <w:pBdr>
          <w:top w:color="000000" w:space="0" w:sz="0" w:val="none"/>
          <w:left w:color="000000" w:space="0" w:sz="0" w:val="none"/>
          <w:bottom w:color="000000" w:space="0" w:sz="0" w:val="none"/>
          <w:right w:color="000000" w:space="0" w:sz="0" w:val="none"/>
        </w:pBdr>
        <w:rPr>
          <w:rFonts w:ascii="Verdana" w:cs="Verdana" w:eastAsia="Verdana" w:hAnsi="Verdana"/>
          <w:b w:val="1"/>
          <w:color w:val="000000"/>
        </w:rPr>
      </w:pPr>
      <w:r w:rsidDel="00000000" w:rsidR="00000000" w:rsidRPr="00000000">
        <w:rPr>
          <w:rFonts w:ascii="Verdana" w:cs="Verdana" w:eastAsia="Verdana" w:hAnsi="Verdana"/>
          <w:b w:val="1"/>
          <w:color w:val="000000"/>
          <w:rtl w:val="0"/>
        </w:rPr>
        <w:t xml:space="preserve">Innym rozwiązaniem może być... </w:t>
      </w:r>
    </w:p>
    <w:p w:rsidR="00000000" w:rsidDel="00000000" w:rsidP="00000000" w:rsidRDefault="00000000" w:rsidRPr="00000000" w14:paraId="00000024">
      <w:pPr>
        <w:pBdr>
          <w:top w:color="000000" w:space="0" w:sz="0" w:val="none"/>
          <w:left w:color="000000" w:space="0" w:sz="0" w:val="none"/>
          <w:bottom w:color="000000" w:space="0" w:sz="0" w:val="none"/>
          <w:right w:color="000000" w:space="0" w:sz="0" w:val="none"/>
        </w:pBdr>
        <w:rPr>
          <w:rFonts w:ascii="Verdana" w:cs="Verdana" w:eastAsia="Verdana" w:hAnsi="Verdana"/>
          <w:b w:val="1"/>
          <w:color w:val="000000"/>
        </w:rPr>
      </w:pPr>
      <w:r w:rsidDel="00000000" w:rsidR="00000000" w:rsidRPr="00000000">
        <w:rPr>
          <w:rtl w:val="0"/>
        </w:rPr>
      </w:r>
    </w:p>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Alternatywą do zestawu modernizacyjnego wyświetlacza w kombajnach może być pakiet Essentials. Pakiet Essentials również zawiera wyświetlacz uniwersalny G5 Plus, który można zamontować zamiast oryginalnego wyświetlacza 2630. Dodatkowo zestaw Essentials zawiera odbiornik Starfire 7500 oraz modem JDLink, które mogą być wykorzystane również w innych maszynach.</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Istotnym czynnikiem, który odróżnia przedstawiony wcześniej zestaw modernizacyjny od pakietu Essentials jest cena. Wyświetlacz uniwersalny G5Plus to koszt około 35 000 zł. Pakiet Essentials to koszt 13 000 zł za zestaw sprzętowy (Wyświetlacz G5 Plus, Odbiornik Starfire 7500 oraz Modem JDLink) plus cena licencji rocznej na korzystanie z danych funkcji. Licencja podstawowa Guidance zawierająca naprowadzanie AutoTrac to koszt 4400 zł na rok. Łatwo więc policzyć, że </w:t>
      </w:r>
      <w:r w:rsidDel="00000000" w:rsidR="00000000" w:rsidRPr="00000000">
        <w:rPr>
          <w:rFonts w:ascii="Verdana" w:cs="Verdana" w:eastAsia="Verdana" w:hAnsi="Verdana"/>
          <w:b w:val="1"/>
          <w:color w:val="000000"/>
          <w:rtl w:val="0"/>
        </w:rPr>
        <w:t xml:space="preserve">suma kosztów w przypadku zakupu wyświetlacza uniwersalnego oraz pakietu Essentials z licencją Guidance zrówna się dopiero po 5 latach, a należy pamiętać, że dodatkowo mamy w zestawie jeszcze odbiornik oraz modem. </w:t>
      </w:r>
      <w:r w:rsidDel="00000000" w:rsidR="00000000" w:rsidRPr="00000000">
        <w:rPr>
          <w:rFonts w:ascii="Verdana" w:cs="Verdana" w:eastAsia="Verdana" w:hAnsi="Verdana"/>
          <w:color w:val="000000"/>
          <w:rtl w:val="0"/>
        </w:rPr>
        <w:t xml:space="preserve">To co należy podkreślić to elastyczność pakietu Essentials, to klient decyduje czy odnawia licencję i jaką licencję wybiera </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w zależności od swoich potrzeb.</w:t>
      </w:r>
    </w:p>
    <w:p w:rsidR="00000000" w:rsidDel="00000000" w:rsidP="00000000" w:rsidRDefault="00000000" w:rsidRPr="00000000" w14:paraId="00000028">
      <w:pPr>
        <w:spacing w:line="276" w:lineRule="auto"/>
        <w:jc w:val="both"/>
        <w:rPr>
          <w:rFonts w:ascii="Verdana" w:cs="Verdana" w:eastAsia="Verdana" w:hAnsi="Verdana"/>
          <w:color w:val="000000"/>
          <w:sz w:val="18"/>
          <w:szCs w:val="18"/>
        </w:rPr>
      </w:pPr>
      <w:r w:rsidDel="00000000" w:rsidR="00000000" w:rsidRPr="00000000">
        <w:rPr>
          <w:rtl w:val="0"/>
        </w:rPr>
      </w:r>
    </w:p>
    <w:p w:rsidR="00000000" w:rsidDel="00000000" w:rsidP="00000000" w:rsidRDefault="00000000" w:rsidRPr="00000000" w14:paraId="00000029">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2A">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2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71775" cy="301625"/>
                        </a:xfrm>
                        <a:prstGeom prst="rect"/>
                        <a:ln/>
                      </pic:spPr>
                    </pic:pic>
                  </a:graphicData>
                </a:graphic>
              </wp:anchor>
            </w:drawing>
          </mc:Fallback>
        </mc:AlternateContent>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28578</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0"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34">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35">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6">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3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38">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3A">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B">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D">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Bdr>
        <w:top w:color="000000" w:space="0" w:sz="0" w:val="none"/>
        <w:left w:color="000000" w:space="0" w:sz="0" w:val="none"/>
        <w:bottom w:color="000000" w:space="0" w:sz="0" w:val="none"/>
        <w:right w:color="000000" w:space="0" w:sz="0" w:val="none"/>
        <w:between w:color="000000" w:space="0" w:sz="0" w:val="none"/>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6"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89520" cy="301625"/>
                      </a:xfrm>
                      <a:prstGeom prst="rect"/>
                      <a:ln/>
                    </pic:spPr>
                  </pic:pic>
                </a:graphicData>
              </a:graphic>
            </wp:anchor>
          </w:drawing>
        </mc:Fallback>
      </mc:AlternateContent>
    </w:r>
  </w:p>
  <w:p w:rsidR="00000000" w:rsidDel="00000000" w:rsidP="00000000" w:rsidRDefault="00000000" w:rsidRPr="00000000" w14:paraId="0000004A">
    <w:pPr>
      <w:pBdr>
        <w:top w:color="000000" w:space="0" w:sz="0" w:val="none"/>
        <w:left w:color="000000" w:space="0" w:sz="0" w:val="none"/>
        <w:bottom w:color="000000" w:space="0" w:sz="0" w:val="none"/>
        <w:right w:color="000000" w:space="0" w:sz="0" w:val="none"/>
        <w:between w:color="000000" w:space="0" w:sz="0" w:val="none"/>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B">
    <w:pPr>
      <w:pBdr>
        <w:top w:color="000000" w:space="0" w:sz="0" w:val="none"/>
        <w:left w:color="000000" w:space="0" w:sz="0" w:val="none"/>
        <w:bottom w:color="000000" w:space="0" w:sz="0" w:val="none"/>
        <w:right w:color="000000" w:space="0" w:sz="0" w:val="none"/>
        <w:between w:color="000000" w:space="0" w:sz="0" w:val="none"/>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widowControl w:val="0"/>
      <w:pBdr>
        <w:top w:color="000000" w:space="0" w:sz="0" w:val="none"/>
        <w:left w:color="000000" w:space="0" w:sz="0" w:val="none"/>
        <w:bottom w:color="000000" w:space="0" w:sz="0" w:val="none"/>
        <w:right w:color="000000" w:space="0" w:sz="0" w:val="none"/>
        <w:between w:color="000000" w:space="0" w:sz="0" w:val="none"/>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F">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-63497</wp:posOffset>
                </wp:positionH>
                <wp:positionV relativeFrom="paragraph">
                  <wp:posOffset>17780</wp:posOffset>
                </wp:positionV>
                <wp:extent cx="2286000" cy="463550"/>
                <wp:effectExtent b="0" l="0" r="0" t="0"/>
                <wp:wrapNone/>
                <wp:docPr descr="green horiz for letterhead" id="8"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40">
          <w:pPr>
            <w:keepNext w:val="1"/>
            <w:pBdr>
              <w:top w:color="000000" w:space="0" w:sz="0" w:val="none"/>
              <w:left w:color="000000" w:space="0" w:sz="0" w:val="none"/>
              <w:bottom w:color="000000" w:space="0" w:sz="0" w:val="none"/>
              <w:right w:color="000000" w:space="0" w:sz="0" w:val="none"/>
              <w:between w:color="000000" w:space="0" w:sz="0" w:val="none"/>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1">
          <w:pPr>
            <w:keepNext w:val="1"/>
            <w:pBdr>
              <w:top w:color="000000" w:space="0" w:sz="0" w:val="none"/>
              <w:left w:color="000000" w:space="0" w:sz="0" w:val="none"/>
              <w:bottom w:color="000000" w:space="0" w:sz="0" w:val="none"/>
              <w:right w:color="000000" w:space="0" w:sz="0" w:val="none"/>
              <w:between w:color="000000" w:space="0" w:sz="0" w:val="none"/>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2">
          <w:pPr>
            <w:keepNext w:val="1"/>
            <w:pBdr>
              <w:top w:color="000000" w:space="0" w:sz="0" w:val="none"/>
              <w:left w:color="000000" w:space="0" w:sz="0" w:val="none"/>
              <w:bottom w:color="000000" w:space="0" w:sz="0" w:val="none"/>
              <w:right w:color="000000" w:space="0" w:sz="0" w:val="none"/>
              <w:between w:color="000000" w:space="0" w:sz="0" w:val="none"/>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43">
          <w:pPr>
            <w:keepNext w:val="1"/>
            <w:pBdr>
              <w:top w:color="000000" w:space="0" w:sz="0" w:val="none"/>
              <w:left w:color="000000" w:space="0" w:sz="0" w:val="none"/>
              <w:bottom w:color="000000" w:space="0" w:sz="0" w:val="none"/>
              <w:right w:color="000000" w:space="0" w:sz="0" w:val="none"/>
              <w:between w:color="000000" w:space="0" w:sz="0" w:val="none"/>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44">
          <w:pPr>
            <w:keepNext w:val="1"/>
            <w:pBdr>
              <w:top w:color="000000" w:space="0" w:sz="0" w:val="none"/>
              <w:left w:color="000000" w:space="0" w:sz="0" w:val="none"/>
              <w:bottom w:color="000000" w:space="0" w:sz="0" w:val="none"/>
              <w:right w:color="000000" w:space="0" w:sz="0" w:val="none"/>
              <w:between w:color="000000" w:space="0" w:sz="0" w:val="none"/>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45">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46">
          <w:pPr>
            <w:pBdr>
              <w:top w:color="000000" w:space="0" w:sz="0" w:val="none"/>
              <w:left w:color="000000" w:space="0" w:sz="0" w:val="none"/>
              <w:bottom w:color="000000" w:space="0" w:sz="0" w:val="none"/>
              <w:right w:color="000000" w:space="0" w:sz="0" w:val="none"/>
              <w:between w:color="000000" w:space="0" w:sz="0" w:val="none"/>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47">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8">
    <w:pPr>
      <w:pBdr>
        <w:top w:color="000000" w:space="0" w:sz="0" w:val="none"/>
        <w:left w:color="000000" w:space="0" w:sz="0" w:val="none"/>
        <w:bottom w:color="000000" w:space="0" w:sz="0" w:val="none"/>
        <w:right w:color="000000" w:space="0" w:sz="0" w:val="none"/>
        <w:between w:color="000000" w:space="0" w:sz="0" w:val="none"/>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qFormat w:val="1"/>
  </w:style>
  <w:style w:type="paragraph" w:styleId="Heading1">
    <w:name w:val="heading 1"/>
    <w:basedOn w:val="Normal"/>
    <w:next w:val="Normal"/>
    <w:link w:val="Heading1Char1"/>
    <w:uiPriority w:val="9"/>
    <w:qFormat w:val="1"/>
    <w:pPr>
      <w:keepNext w:val="1"/>
      <w:outlineLvl w:val="0"/>
    </w:pPr>
    <w:rPr>
      <w:rFonts w:ascii="Arial" w:hAnsi="Arial"/>
      <w:b w:val="1"/>
      <w:sz w:val="24"/>
    </w:rPr>
  </w:style>
  <w:style w:type="paragraph" w:styleId="Heading2">
    <w:name w:val="heading 2"/>
    <w:basedOn w:val="Normal"/>
    <w:next w:val="Normal"/>
    <w:link w:val="Heading2Char1"/>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1"/>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1"/>
    <w:uiPriority w:val="9"/>
    <w:semiHidden w:val="1"/>
    <w:unhideWhenUsed w:val="1"/>
    <w:qFormat w:val="1"/>
    <w:pPr>
      <w:keepNext w:val="1"/>
      <w:keepLines w:val="1"/>
      <w:spacing w:after="200" w:before="320"/>
      <w:outlineLvl w:val="3"/>
    </w:pPr>
    <w:rPr>
      <w:rFonts w:ascii="Arial" w:cs="Arial" w:eastAsia="Arial" w:hAnsi="Arial"/>
      <w:b w:val="1"/>
      <w:bCs w:val="1"/>
      <w:sz w:val="26"/>
      <w:szCs w:val="26"/>
    </w:rPr>
  </w:style>
  <w:style w:type="paragraph" w:styleId="Heading5">
    <w:name w:val="heading 5"/>
    <w:basedOn w:val="Normal"/>
    <w:next w:val="Normal"/>
    <w:link w:val="Heading5Char1"/>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1"/>
    <w:uiPriority w:val="9"/>
    <w:semiHidden w:val="1"/>
    <w:unhideWhenUsed w:val="1"/>
    <w:qFormat w:val="1"/>
    <w:pPr>
      <w:keepNext w:val="1"/>
      <w:keepLines w:val="1"/>
      <w:spacing w:after="200" w:before="320"/>
      <w:outlineLvl w:val="5"/>
    </w:pPr>
    <w:rPr>
      <w:rFonts w:ascii="Arial" w:cs="Arial" w:eastAsia="Arial" w:hAnsi="Arial"/>
      <w:b w:val="1"/>
      <w:bCs w:val="1"/>
      <w:sz w:val="22"/>
      <w:szCs w:val="22"/>
    </w:rPr>
  </w:style>
  <w:style w:type="paragraph" w:styleId="Heading7">
    <w:name w:val="heading 7"/>
    <w:basedOn w:val="Normal"/>
    <w:next w:val="Normal"/>
    <w:link w:val="Heading7Char1"/>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Heading8">
    <w:name w:val="heading 8"/>
    <w:basedOn w:val="Normal"/>
    <w:next w:val="Normal"/>
    <w:link w:val="Heading8Char1"/>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Heading9">
    <w:name w:val="heading 9"/>
    <w:basedOn w:val="Normal"/>
    <w:next w:val="Normal"/>
    <w:link w:val="Heading9Char1"/>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itle">
    <w:name w:val="Title"/>
    <w:basedOn w:val="Normal"/>
    <w:next w:val="Normal"/>
    <w:link w:val="TitleChar1"/>
    <w:uiPriority w:val="10"/>
    <w:qFormat w:val="1"/>
    <w:pPr>
      <w:spacing w:after="200" w:before="300"/>
      <w:contextualSpacing w:val="1"/>
    </w:pPr>
    <w:rPr>
      <w:sz w:val="48"/>
      <w:szCs w:val="48"/>
    </w:rPr>
  </w:style>
  <w:style w:type="table" w:styleId="TableNormal2" w:customStyle="1">
    <w:name w:val="Table Normal2"/>
    <w:tblPr>
      <w:tblCellMar>
        <w:top w:w="0.0" w:type="dxa"/>
        <w:left w:w="0.0" w:type="dxa"/>
        <w:bottom w:w="0.0" w:type="dxa"/>
        <w:right w:w="0.0" w:type="dxa"/>
      </w:tblCellMar>
    </w:tblPr>
  </w:style>
  <w:style w:type="table" w:styleId="TableGridLight1"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
    <w:name w:val="Grid Table Light"/>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name w:val="Grid Table 1 Light Accent 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name w:val="Grid Table 1 Light Accent 2"/>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name w:val="Grid Table 1 Light Accent 3"/>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name w:val="Grid Table 1 Light Accent 4"/>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name w:val="Grid Table 1 Light Accent 5"/>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name w:val="Grid Table 1 Light Accent 6"/>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name w:val="Grid Table 2 Accent 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name w:val="Grid Table 2 Accent 2"/>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name w:val="Grid Table 2 Accent 3"/>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name w:val="Grid Table 2 Accent 4"/>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name w:val="Grid Table 2 Accent 5"/>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name w:val="Grid Table 2 Accent 6"/>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name w:val="Grid Table 3 Accent 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name w:val="Grid Table 3 Accent 2"/>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name w:val="Grid Table 3 Accent 3"/>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name w:val="Grid Table 3 Accent 4"/>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name w:val="Grid Table 3 Accent 5"/>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name w:val="Grid Table 3 Accent 6"/>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name w:val="Grid Table 4 Accent 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name w:val="Grid Table 4 Accent 2"/>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name w:val="Grid Table 4 Accent 3"/>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name w:val="Grid Table 4 Accent 4"/>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name w:val="Grid Table 4 Accent 5"/>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name w:val="Grid Table 4 Accent 6"/>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name w:val="Grid Table 5 Dark Accent 2"/>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name w:val="Grid Table 5 Dark Accent 3"/>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name w:val="Grid Table 5 Dark Accent 5"/>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name w:val="Grid Table 5 Dark Accent 6"/>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name w:val="Grid Table 6 Colorful Accent 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name w:val="Grid Table 6 Colorful Accent 2"/>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name w:val="Grid Table 6 Colorful Accent 3"/>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name w:val="Grid Table 6 Colorful Accent 4"/>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name w:val="Grid Table 6 Colorful Accent 5"/>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name w:val="Grid Table 6 Colorful Accent 6"/>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name w:val="Grid Table 7 Colorful Accent 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name w:val="Grid Table 7 Colorful Accent 2"/>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name w:val="Grid Table 7 Colorful Accent 3"/>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name w:val="Grid Table 7 Colorful Accent 4"/>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name w:val="Grid Table 7 Colorful Accent 5"/>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name w:val="Grid Table 7 Colorful Accent 6"/>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name w:val="List Table 1 Light Accent 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name w:val="List Table 1 Light Accent 2"/>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name w:val="List Table 1 Light Accent 3"/>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name w:val="List Table 1 Light Accent 4"/>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name w:val="List Table 1 Light Accent 5"/>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name w:val="List Table 1 Light Accent 6"/>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name w:val="List Table 2 Accent 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name w:val="List Table 2 Accent 2"/>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name w:val="List Table 2 Accent 3"/>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name w:val="List Table 2 Accent 4"/>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name w:val="List Table 2 Accent 5"/>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name w:val="List Table 2 Accent 6"/>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name w:val="List Table 3 Accent 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name w:val="List Table 3 Accent 2"/>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name w:val="List Table 3 Accent 3"/>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name w:val="List Table 3 Accent 4"/>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name w:val="List Table 3 Accent 5"/>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name w:val="List Table 3 Accent 6"/>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name w:val="List Table 4 Accent 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name w:val="List Table 4 Accent 2"/>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name w:val="List Table 4 Accent 3"/>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name w:val="List Table 4 Accent 4"/>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name w:val="List Table 4 Accent 5"/>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name w:val="List Table 4 Accent 6"/>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name w:val="List Table 5 Dark Accent 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name w:val="List Table 5 Dark Accent 2"/>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name w:val="List Table 5 Dark Accent 3"/>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name w:val="List Table 5 Dark Accent 4"/>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name w:val="List Table 5 Dark Accent 5"/>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name w:val="List Table 5 Dark Accent 6"/>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name w:val="List Table 6 Colorful Accent 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name w:val="List Table 6 Colorful Accent 2"/>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name w:val="List Table 6 Colorful Accent 3"/>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name w:val="List Table 6 Colorful Accent 4"/>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name w:val="List Table 6 Colorful Accent 5"/>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name w:val="List Table 6 Colorful Accent 6"/>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name w:val="List Table 7 Colorful Accent 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name w:val="List Table 7 Colorful Accent 2"/>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name w:val="List Table 7 Colorful Accent 3"/>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name w:val="List Table 7 Colorful Accent 4"/>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name w:val="List Table 7 Colorful Accent 5"/>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name w:val="List Table 7 Colorful Accent 6"/>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2"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efaultParagraphFont"/>
    <w:uiPriority w:val="9"/>
    <w:rPr>
      <w:rFonts w:ascii="Arial" w:cs="Arial" w:eastAsia="Arial" w:hAnsi="Arial"/>
      <w:b w:val="1"/>
      <w:bCs w:val="1"/>
      <w:sz w:val="26"/>
      <w:szCs w:val="26"/>
    </w:rPr>
  </w:style>
  <w:style w:type="character" w:styleId="Heading6Char" w:customStyle="1">
    <w:name w:val="Heading 6 Char"/>
    <w:basedOn w:val="DefaultParagraphFont"/>
    <w:uiPriority w:val="9"/>
    <w:rPr>
      <w:rFonts w:ascii="Arial" w:cs="Arial" w:eastAsia="Arial" w:hAnsi="Arial"/>
      <w:b w:val="1"/>
      <w:bCs w:val="1"/>
      <w:sz w:val="22"/>
      <w:szCs w:val="22"/>
    </w:rPr>
  </w:style>
  <w:style w:type="character" w:styleId="Heading7Char" w:customStyle="1">
    <w:name w:val="Heading 7 Char"/>
    <w:basedOn w:val="DefaultParagraphFont"/>
    <w:uiPriority w:val="9"/>
    <w:rPr>
      <w:rFonts w:ascii="Arial" w:cs="Arial" w:eastAsia="Arial" w:hAnsi="Arial"/>
      <w:b w:val="1"/>
      <w:bCs w:val="1"/>
      <w:i w:val="1"/>
      <w:iCs w:val="1"/>
      <w:sz w:val="22"/>
      <w:szCs w:val="22"/>
    </w:rPr>
  </w:style>
  <w:style w:type="character" w:styleId="Heading8Char" w:customStyle="1">
    <w:name w:val="Heading 8 Char"/>
    <w:basedOn w:val="DefaultParagraphFont"/>
    <w:uiPriority w:val="9"/>
    <w:rPr>
      <w:rFonts w:ascii="Arial" w:cs="Arial" w:eastAsia="Arial" w:hAnsi="Arial"/>
      <w:i w:val="1"/>
      <w:iCs w:val="1"/>
      <w:sz w:val="22"/>
      <w:szCs w:val="22"/>
    </w:rPr>
  </w:style>
  <w:style w:type="character" w:styleId="Heading9Char" w:customStyle="1">
    <w:name w:val="Heading 9 Char"/>
    <w:basedOn w:val="DefaultParagraphFont"/>
    <w:uiPriority w:val="9"/>
    <w:rPr>
      <w:rFonts w:ascii="Arial" w:cs="Arial" w:eastAsia="Arial" w:hAnsi="Arial"/>
      <w:i w:val="1"/>
      <w:iCs w:val="1"/>
      <w:sz w:val="21"/>
      <w:szCs w:val="21"/>
    </w:rPr>
  </w:style>
  <w:style w:type="character" w:styleId="TitleChar" w:customStyle="1">
    <w:name w:val="Title Char"/>
    <w:basedOn w:val="DefaultParagraphFont"/>
    <w:uiPriority w:val="10"/>
    <w:rPr>
      <w:sz w:val="48"/>
      <w:szCs w:val="48"/>
    </w:rPr>
  </w:style>
  <w:style w:type="character" w:styleId="SubtitleChar" w:customStyle="1">
    <w:name w:val="Subtitle Char"/>
    <w:basedOn w:val="DefaultParagraphFont"/>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3"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3"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3"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3"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3"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3"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3"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3"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3"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3"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3"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3"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3"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3"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3"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3"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3"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3"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3"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3"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3"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3"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3"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3"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3"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3"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3"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3"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3"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3"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3"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3"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3"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3"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3"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3"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3"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3"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3"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3"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3"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3"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3"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3"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3"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3"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3"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3"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3"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3"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3"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3"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3"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efaultParagraphFont"/>
    <w:uiPriority w:val="9"/>
    <w:rPr>
      <w:rFonts w:ascii="Arial" w:cs="Arial" w:eastAsia="Arial" w:hAnsi="Arial"/>
      <w:sz w:val="40"/>
      <w:szCs w:val="40"/>
    </w:rPr>
  </w:style>
  <w:style w:type="character" w:styleId="Heading2Char" w:customStyle="1">
    <w:name w:val="Heading 2 Char"/>
    <w:basedOn w:val="DefaultParagraphFont"/>
    <w:uiPriority w:val="9"/>
    <w:rPr>
      <w:rFonts w:ascii="Arial" w:cs="Arial" w:eastAsia="Arial" w:hAnsi="Arial"/>
      <w:sz w:val="34"/>
    </w:rPr>
  </w:style>
  <w:style w:type="character" w:styleId="Heading3Char" w:customStyle="1">
    <w:name w:val="Heading 3 Char"/>
    <w:basedOn w:val="DefaultParagraphFont"/>
    <w:uiPriority w:val="9"/>
    <w:rPr>
      <w:rFonts w:ascii="Arial" w:cs="Arial" w:eastAsia="Arial" w:hAnsi="Arial"/>
      <w:sz w:val="30"/>
      <w:szCs w:val="30"/>
    </w:rPr>
  </w:style>
  <w:style w:type="character" w:styleId="Heading4Char1" w:customStyle="1">
    <w:name w:val="Heading 4 Char1"/>
    <w:basedOn w:val="DefaultParagraphFont"/>
    <w:link w:val="Heading4"/>
    <w:uiPriority w:val="9"/>
    <w:rPr>
      <w:rFonts w:ascii="Arial" w:cs="Arial" w:eastAsia="Arial" w:hAnsi="Arial"/>
      <w:b w:val="1"/>
      <w:bCs w:val="1"/>
      <w:sz w:val="26"/>
      <w:szCs w:val="26"/>
    </w:rPr>
  </w:style>
  <w:style w:type="character" w:styleId="Heading5Char" w:customStyle="1">
    <w:name w:val="Heading 5 Char"/>
    <w:basedOn w:val="DefaultParagraphFont"/>
    <w:uiPriority w:val="9"/>
    <w:rPr>
      <w:rFonts w:ascii="Arial" w:cs="Arial" w:eastAsia="Arial" w:hAnsi="Arial"/>
      <w:b w:val="1"/>
      <w:bCs w:val="1"/>
      <w:sz w:val="24"/>
      <w:szCs w:val="24"/>
    </w:rPr>
  </w:style>
  <w:style w:type="character" w:styleId="Heading6Char1" w:customStyle="1">
    <w:name w:val="Heading 6 Char1"/>
    <w:basedOn w:val="DefaultParagraphFont"/>
    <w:link w:val="Heading6"/>
    <w:uiPriority w:val="9"/>
    <w:rPr>
      <w:rFonts w:ascii="Arial" w:cs="Arial" w:eastAsia="Arial" w:hAnsi="Arial"/>
      <w:b w:val="1"/>
      <w:bCs w:val="1"/>
      <w:sz w:val="22"/>
      <w:szCs w:val="22"/>
    </w:rPr>
  </w:style>
  <w:style w:type="character" w:styleId="Heading7Char1" w:customStyle="1">
    <w:name w:val="Heading 7 Char1"/>
    <w:basedOn w:val="DefaultParagraphFont"/>
    <w:link w:val="Heading7"/>
    <w:uiPriority w:val="9"/>
    <w:rPr>
      <w:rFonts w:ascii="Arial" w:cs="Arial" w:eastAsia="Arial" w:hAnsi="Arial"/>
      <w:b w:val="1"/>
      <w:bCs w:val="1"/>
      <w:i w:val="1"/>
      <w:iCs w:val="1"/>
      <w:sz w:val="22"/>
      <w:szCs w:val="22"/>
    </w:rPr>
  </w:style>
  <w:style w:type="character" w:styleId="Heading8Char1" w:customStyle="1">
    <w:name w:val="Heading 8 Char1"/>
    <w:basedOn w:val="DefaultParagraphFont"/>
    <w:link w:val="Heading8"/>
    <w:uiPriority w:val="9"/>
    <w:rPr>
      <w:rFonts w:ascii="Arial" w:cs="Arial" w:eastAsia="Arial" w:hAnsi="Arial"/>
      <w:i w:val="1"/>
      <w:iCs w:val="1"/>
      <w:sz w:val="22"/>
      <w:szCs w:val="22"/>
    </w:rPr>
  </w:style>
  <w:style w:type="character" w:styleId="Heading9Char1" w:customStyle="1">
    <w:name w:val="Heading 9 Char1"/>
    <w:basedOn w:val="DefaultParagraphFont"/>
    <w:link w:val="Heading9"/>
    <w:uiPriority w:val="9"/>
    <w:rPr>
      <w:rFonts w:ascii="Arial" w:cs="Arial" w:eastAsia="Arial" w:hAnsi="Arial"/>
      <w:i w:val="1"/>
      <w:iCs w:val="1"/>
      <w:sz w:val="21"/>
      <w:szCs w:val="21"/>
    </w:rPr>
  </w:style>
  <w:style w:type="character" w:styleId="TitleChar1" w:customStyle="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val="1"/>
    <w:pPr>
      <w:pBdr>
        <w:top w:color="000000" w:space="0" w:sz="4" w:val="none"/>
        <w:left w:color="000000" w:space="0" w:sz="4" w:val="none"/>
        <w:bottom w:color="000000" w:space="0" w:sz="4" w:val="none"/>
        <w:right w:color="000000" w:space="0" w:sz="4" w:val="none"/>
        <w:between w:color="000000" w:space="0" w:sz="4" w:val="none"/>
      </w:pBdr>
      <w:spacing w:after="200" w:before="200"/>
    </w:pPr>
    <w:rPr>
      <w:color w:val="000000"/>
      <w:sz w:val="24"/>
      <w:szCs w:val="24"/>
    </w:rPr>
  </w:style>
  <w:style w:type="character" w:styleId="SubtitleChar1" w:customStyle="1">
    <w:name w:val="Subtitle Char1"/>
    <w:basedOn w:val="DefaultParagraphFont"/>
    <w:link w:val="Subtitle"/>
    <w:uiPriority w:val="11"/>
    <w:rPr>
      <w:sz w:val="24"/>
      <w:szCs w:val="24"/>
    </w:rPr>
  </w:style>
  <w:style w:type="paragraph" w:styleId="Quote">
    <w:name w:val="Quote"/>
    <w:basedOn w:val="Normal"/>
    <w:next w:val="Normal"/>
    <w:link w:val="QuoteChar1"/>
    <w:uiPriority w:val="29"/>
    <w:qFormat w:val="1"/>
    <w:pPr>
      <w:ind w:left="720" w:right="720"/>
    </w:pPr>
    <w:rPr>
      <w:i w:val="1"/>
    </w:rPr>
  </w:style>
  <w:style w:type="character" w:styleId="QuoteChar1" w:customStyle="1">
    <w:name w:val="Quote Char1"/>
    <w:link w:val="Quote"/>
    <w:uiPriority w:val="29"/>
    <w:rPr>
      <w:i w:val="1"/>
    </w:rPr>
  </w:style>
  <w:style w:type="paragraph" w:styleId="IntenseQuote">
    <w:name w:val="Intense Quote"/>
    <w:basedOn w:val="Normal"/>
    <w:next w:val="Normal"/>
    <w:link w:val="IntenseQuoteChar1"/>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IntenseQuoteChar1" w:customStyle="1">
    <w:name w:val="Intense Quote Char1"/>
    <w:link w:val="IntenseQuote"/>
    <w:uiPriority w:val="30"/>
    <w:rPr>
      <w:i w:val="1"/>
    </w:rPr>
  </w:style>
  <w:style w:type="character" w:styleId="HeaderChar" w:customStyle="1">
    <w:name w:val="Header Char"/>
    <w:basedOn w:val="DefaultParagraphFont"/>
    <w:uiPriority w:val="99"/>
  </w:style>
  <w:style w:type="character" w:styleId="FooterChar" w:customStyle="1">
    <w:name w:val="Footer Char"/>
    <w:basedOn w:val="DefaultParagraphFont"/>
    <w:uiPriority w:val="99"/>
  </w:style>
  <w:style w:type="paragraph" w:styleId="Caption">
    <w:name w:val="caption"/>
    <w:basedOn w:val="Normal"/>
    <w:next w:val="Normal"/>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4"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PlainTable1">
    <w:name w:val="Plain Table 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PlainTable2">
    <w:name w:val="Plain Table 2"/>
    <w:basedOn w:val="TableNormal"/>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PlainTable3">
    <w:name w:val="Plain Table 3"/>
    <w:basedOn w:val="TableNormal"/>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4">
    <w:name w:val="Plain Table 4"/>
    <w:basedOn w:val="TableNormal"/>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5">
    <w:name w:val="Plain Table 5"/>
    <w:basedOn w:val="TableNormal"/>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GridTable1Light">
    <w:name w:val="Grid Table 1 Light"/>
    <w:basedOn w:val="TableNormal"/>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4"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4"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4"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4"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4"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4"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
    <w:name w:val="Grid Table 2"/>
    <w:basedOn w:val="TableNormal"/>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4"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4"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4"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4"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4"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4"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3">
    <w:name w:val="Grid Table 3"/>
    <w:basedOn w:val="TableNormal"/>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4"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4"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4"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4"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4"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4"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4">
    <w:name w:val="Grid Table 4"/>
    <w:basedOn w:val="TableNormal"/>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4"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4"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4"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4"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4"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4"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5Dark">
    <w:name w:val="Grid Table 5 Dark"/>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4"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4"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4"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4"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GridTable6Colorful">
    <w:name w:val="Grid Table 6 Colorful"/>
    <w:basedOn w:val="TableNormal"/>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4"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4"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4"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4"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4"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4"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GridTable7Colorful">
    <w:name w:val="Grid Table 7 Colorful"/>
    <w:basedOn w:val="TableNormal"/>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4"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4"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4"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4"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4"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4"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ListTable1Light">
    <w:name w:val="List Table 1 Light"/>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4"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4"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4"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4"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4"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4"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ListTable2">
    <w:name w:val="List Table 2"/>
    <w:basedOn w:val="TableNormal"/>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4"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4"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4"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4"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4"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4"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3">
    <w:name w:val="List Table 3"/>
    <w:basedOn w:val="TableNormal"/>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4"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4"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4"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4"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4"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4"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
    <w:name w:val="List Table 4"/>
    <w:basedOn w:val="TableNormal"/>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4"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4"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4"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4"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4"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4"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5Dark">
    <w:name w:val="List Table 5 Dark"/>
    <w:basedOn w:val="TableNormal"/>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4"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4"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4"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4"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4"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4"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ListTable6Colorful">
    <w:name w:val="List Table 6 Colorful"/>
    <w:basedOn w:val="TableNormal"/>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4"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4"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4"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4"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4"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4"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stTable7Colorful">
    <w:name w:val="List Table 7 Colorful"/>
    <w:basedOn w:val="TableNormal"/>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4"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4"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4"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4"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4"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4"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TableNormal"/>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TableNormal"/>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TableNormal"/>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TableNormal"/>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TableNormal"/>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TableNormal"/>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TableNormal"/>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TableNormal"/>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FootnoteText">
    <w:name w:val="footnote text"/>
    <w:basedOn w:val="Normal"/>
    <w:link w:val="FootnoteTextChar1"/>
    <w:uiPriority w:val="99"/>
    <w:semiHidden w:val="1"/>
    <w:unhideWhenUsed w:val="1"/>
    <w:pPr>
      <w:spacing w:after="40"/>
    </w:pPr>
    <w:rPr>
      <w:sz w:val="18"/>
    </w:rPr>
  </w:style>
  <w:style w:type="character" w:styleId="FootnoteTextChar1" w:customStyle="1">
    <w:name w:val="Footnote Text Char1"/>
    <w:link w:val="FootnoteText"/>
    <w:uiPriority w:val="99"/>
    <w:rPr>
      <w:sz w:val="18"/>
    </w:rPr>
  </w:style>
  <w:style w:type="character" w:styleId="FootnoteReference">
    <w:name w:val="footnote reference"/>
    <w:basedOn w:val="DefaultParagraphFont"/>
    <w:uiPriority w:val="99"/>
    <w:unhideWhenUsed w:val="1"/>
    <w:rPr>
      <w:vertAlign w:val="superscript"/>
    </w:rPr>
  </w:style>
  <w:style w:type="character" w:styleId="EndnoteTextChar" w:customStyle="1">
    <w:name w:val="Endnote Text Char"/>
    <w:uiPriority w:val="99"/>
    <w:rPr>
      <w:sz w:val="20"/>
    </w:rPr>
  </w:style>
  <w:style w:type="paragraph" w:styleId="TOC1">
    <w:name w:val="toc 1"/>
    <w:basedOn w:val="Normal"/>
    <w:next w:val="Normal"/>
    <w:uiPriority w:val="39"/>
    <w:unhideWhenUsed w:val="1"/>
    <w:pPr>
      <w:spacing w:after="57"/>
    </w:pPr>
  </w:style>
  <w:style w:type="paragraph" w:styleId="TOC2">
    <w:name w:val="toc 2"/>
    <w:basedOn w:val="Normal"/>
    <w:next w:val="Normal"/>
    <w:uiPriority w:val="39"/>
    <w:unhideWhenUsed w:val="1"/>
    <w:pPr>
      <w:spacing w:after="57"/>
      <w:ind w:left="283"/>
    </w:pPr>
  </w:style>
  <w:style w:type="paragraph" w:styleId="TOC3">
    <w:name w:val="toc 3"/>
    <w:basedOn w:val="Normal"/>
    <w:next w:val="Normal"/>
    <w:uiPriority w:val="39"/>
    <w:unhideWhenUsed w:val="1"/>
    <w:pPr>
      <w:spacing w:after="57"/>
      <w:ind w:left="567"/>
    </w:pPr>
  </w:style>
  <w:style w:type="paragraph" w:styleId="TOC4">
    <w:name w:val="toc 4"/>
    <w:basedOn w:val="Normal"/>
    <w:next w:val="Normal"/>
    <w:uiPriority w:val="39"/>
    <w:unhideWhenUsed w:val="1"/>
    <w:pPr>
      <w:spacing w:after="57"/>
      <w:ind w:left="850"/>
    </w:pPr>
  </w:style>
  <w:style w:type="paragraph" w:styleId="TOC5">
    <w:name w:val="toc 5"/>
    <w:basedOn w:val="Normal"/>
    <w:next w:val="Normal"/>
    <w:uiPriority w:val="39"/>
    <w:unhideWhenUsed w:val="1"/>
    <w:pPr>
      <w:spacing w:after="57"/>
      <w:ind w:left="1134"/>
    </w:pPr>
  </w:style>
  <w:style w:type="paragraph" w:styleId="TOC6">
    <w:name w:val="toc 6"/>
    <w:basedOn w:val="Normal"/>
    <w:next w:val="Normal"/>
    <w:uiPriority w:val="39"/>
    <w:unhideWhenUsed w:val="1"/>
    <w:pPr>
      <w:spacing w:after="57"/>
      <w:ind w:left="1417"/>
    </w:pPr>
  </w:style>
  <w:style w:type="paragraph" w:styleId="TOC7">
    <w:name w:val="toc 7"/>
    <w:basedOn w:val="Normal"/>
    <w:next w:val="Normal"/>
    <w:uiPriority w:val="39"/>
    <w:unhideWhenUsed w:val="1"/>
    <w:pPr>
      <w:spacing w:after="57"/>
      <w:ind w:left="1701"/>
    </w:pPr>
  </w:style>
  <w:style w:type="paragraph" w:styleId="TOC8">
    <w:name w:val="toc 8"/>
    <w:basedOn w:val="Normal"/>
    <w:next w:val="Normal"/>
    <w:uiPriority w:val="39"/>
    <w:unhideWhenUsed w:val="1"/>
    <w:pPr>
      <w:spacing w:after="57"/>
      <w:ind w:left="1984"/>
    </w:pPr>
  </w:style>
  <w:style w:type="paragraph" w:styleId="TOC9">
    <w:name w:val="toc 9"/>
    <w:basedOn w:val="Normal"/>
    <w:next w:val="Normal"/>
    <w:uiPriority w:val="39"/>
    <w:unhideWhenUsed w:val="1"/>
    <w:pPr>
      <w:spacing w:after="57"/>
      <w:ind w:left="2268"/>
    </w:pPr>
  </w:style>
  <w:style w:type="paragraph" w:styleId="TOCHeading">
    <w:name w:val="TOC Heading"/>
    <w:uiPriority w:val="39"/>
    <w:unhideWhenUsed w:val="1"/>
  </w:style>
  <w:style w:type="paragraph" w:styleId="TableofFigures">
    <w:name w:val="table of figures"/>
    <w:basedOn w:val="Normal"/>
    <w:next w:val="Normal"/>
    <w:uiPriority w:val="99"/>
    <w:unhideWhenUsed w:val="1"/>
  </w:style>
  <w:style w:type="character" w:styleId="Heading1Char1" w:customStyle="1">
    <w:name w:val="Heading 1 Char1"/>
    <w:basedOn w:val="DefaultParagraphFont"/>
    <w:link w:val="Heading1"/>
    <w:rPr>
      <w:rFonts w:ascii="Arial" w:cs="Times New Roman" w:eastAsia="Times New Roman" w:hAnsi="Arial"/>
      <w:b w:val="1"/>
      <w:sz w:val="24"/>
      <w:szCs w:val="20"/>
      <w:lang w:eastAsia="pl-PL"/>
    </w:rPr>
  </w:style>
  <w:style w:type="paragraph" w:styleId="Header">
    <w:name w:val="header"/>
    <w:basedOn w:val="Normal"/>
    <w:link w:val="HeaderChar1"/>
    <w:pPr>
      <w:tabs>
        <w:tab w:val="center" w:pos="4153"/>
        <w:tab w:val="right" w:pos="8306"/>
      </w:tabs>
    </w:pPr>
  </w:style>
  <w:style w:type="character" w:styleId="HeaderChar1" w:customStyle="1">
    <w:name w:val="Header Char1"/>
    <w:basedOn w:val="DefaultParagraphFont"/>
    <w:link w:val="Header"/>
    <w:rPr>
      <w:rFonts w:ascii="Times New Roman" w:cs="Times New Roman" w:eastAsia="Times New Roman" w:hAnsi="Times New Roman"/>
      <w:sz w:val="20"/>
      <w:szCs w:val="20"/>
      <w:lang w:eastAsia="pl-PL"/>
    </w:rPr>
  </w:style>
  <w:style w:type="paragraph" w:styleId="Footer">
    <w:name w:val="footer"/>
    <w:basedOn w:val="Normal"/>
    <w:link w:val="FooterChar1"/>
    <w:pPr>
      <w:tabs>
        <w:tab w:val="center" w:pos="4153"/>
        <w:tab w:val="right" w:pos="8306"/>
      </w:tabs>
    </w:pPr>
  </w:style>
  <w:style w:type="character" w:styleId="FooterChar1" w:customStyle="1">
    <w:name w:val="Footer Char1"/>
    <w:basedOn w:val="DefaultParagraphFont"/>
    <w:link w:val="Footer"/>
    <w:rPr>
      <w:rFonts w:ascii="Times New Roman" w:cs="Times New Roman" w:eastAsia="Times New Roman" w:hAnsi="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styleId="BodyTextChar" w:customStyle="1">
    <w:name w:val="Body Text Char"/>
    <w:basedOn w:val="DefaultParagraphFont"/>
    <w:link w:val="BodyText"/>
    <w:rPr>
      <w:rFonts w:ascii="Arial" w:cs="Times New Roman" w:eastAsia="Times New Roman" w:hAnsi="Arial"/>
      <w:sz w:val="16"/>
      <w:szCs w:val="20"/>
      <w:lang w:eastAsia="pl-PL"/>
    </w:rPr>
  </w:style>
  <w:style w:type="paragraph" w:styleId="NoSpacing">
    <w:name w:val="No Spacing"/>
    <w:uiPriority w:val="1"/>
    <w:qFormat w:val="1"/>
  </w:style>
  <w:style w:type="paragraph" w:styleId="paragraph" w:customStyle="1">
    <w:name w:val="paragraph"/>
    <w:basedOn w:val="Normal"/>
    <w:uiPriority w:val="99"/>
    <w:semiHidden w:val="1"/>
    <w:pPr>
      <w:spacing w:after="100" w:afterAutospacing="1" w:before="100" w:beforeAutospacing="1"/>
    </w:pPr>
    <w:rPr>
      <w:rFonts w:eastAsia="Calibri"/>
      <w:sz w:val="24"/>
      <w:szCs w:val="24"/>
    </w:rPr>
  </w:style>
  <w:style w:type="paragraph" w:styleId="ListParagraph">
    <w:name w:val="List Paragraph"/>
    <w:basedOn w:val="Normal"/>
    <w:uiPriority w:val="34"/>
    <w:qFormat w:val="1"/>
    <w:pPr>
      <w:ind w:left="720"/>
      <w:contextualSpacing w:val="1"/>
    </w:pPr>
    <w:rPr>
      <w:rFonts w:ascii="Calibri" w:cs="Calibri" w:hAnsi="Calibri" w:eastAsiaTheme="minorHAnsi"/>
      <w:sz w:val="22"/>
      <w:szCs w:val="22"/>
      <w:lang w:eastAsia="en-US"/>
    </w:rPr>
  </w:style>
  <w:style w:type="paragraph" w:styleId="NormalWeb">
    <w:name w:val="Normal (Web)"/>
    <w:basedOn w:val="Normal"/>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character" w:styleId="FollowedHyperlink">
    <w:name w:val="FollowedHyperlink"/>
    <w:basedOn w:val="DefaultParagraphFont"/>
    <w:uiPriority w:val="99"/>
    <w:semiHidden w:val="1"/>
    <w:unhideWhenUsed w:val="1"/>
    <w:rPr>
      <w:color w:val="954f72" w:themeColor="followedHyperlink"/>
      <w:u w:val="single"/>
    </w:rPr>
  </w:style>
  <w:style w:type="character" w:styleId="Heading5Char1" w:customStyle="1">
    <w:name w:val="Heading 5 Char1"/>
    <w:basedOn w:val="DefaultParagraphFont"/>
    <w:link w:val="Heading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Heading2Char1" w:customStyle="1">
    <w:name w:val="Heading 2 Char1"/>
    <w:basedOn w:val="DefaultParagraphFont"/>
    <w:link w:val="Heading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Heading3Char1" w:customStyle="1">
    <w:name w:val="Heading 3 Char1"/>
    <w:basedOn w:val="DefaultParagraphFont"/>
    <w:link w:val="Heading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unhideWhenUsed w:val="1"/>
  </w:style>
  <w:style w:type="character" w:styleId="CommentTextChar" w:customStyle="1">
    <w:name w:val="Comment Text Char"/>
    <w:basedOn w:val="DefaultParagraphFont"/>
    <w:link w:val="CommentText"/>
    <w:uiPriority w:val="99"/>
    <w:rPr>
      <w:rFonts w:ascii="Times New Roman" w:cs="Times New Roman" w:eastAsia="Times New Roman" w:hAnsi="Times New Roman"/>
      <w:sz w:val="20"/>
      <w:szCs w:val="20"/>
      <w:lang w:eastAsia="pl-PL"/>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rFonts w:ascii="Times New Roman" w:cs="Times New Roman" w:eastAsia="Times New Roman" w:hAnsi="Times New Roman"/>
      <w:b w:val="1"/>
      <w:bCs w:val="1"/>
      <w:sz w:val="20"/>
      <w:szCs w:val="20"/>
      <w:lang w:eastAsia="pl-PL"/>
    </w:r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eastAsia="Times New Roman" w:hAnsi="Segoe UI"/>
      <w:sz w:val="18"/>
      <w:szCs w:val="18"/>
      <w:lang w:eastAsia="pl-PL"/>
    </w:rPr>
  </w:style>
  <w:style w:type="character" w:styleId="Emphasis">
    <w:name w:val="Emphasis"/>
    <w:basedOn w:val="DefaultParagraphFont"/>
    <w:uiPriority w:val="20"/>
    <w:qFormat w:val="1"/>
    <w:rPr>
      <w:i w:val="1"/>
      <w:iCs w:val="1"/>
    </w:rPr>
  </w:style>
  <w:style w:type="character" w:styleId="Strong">
    <w:name w:val="Strong"/>
    <w:basedOn w:val="DefaultParagraphFont"/>
    <w:uiPriority w:val="22"/>
    <w:qFormat w:val="1"/>
    <w:rPr>
      <w:b w:val="1"/>
      <w:bCs w:val="1"/>
    </w:rPr>
  </w:style>
  <w:style w:type="table" w:styleId="TableGrid">
    <w:name w:val="Table Grid"/>
    <w:basedOn w:val="TableNormal"/>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EndnoteText">
    <w:name w:val="endnote text"/>
    <w:basedOn w:val="Normal"/>
    <w:link w:val="EndnoteTextChar1"/>
    <w:uiPriority w:val="99"/>
    <w:semiHidden w:val="1"/>
    <w:unhideWhenUsed w:val="1"/>
  </w:style>
  <w:style w:type="character" w:styleId="EndnoteTextChar1" w:customStyle="1">
    <w:name w:val="Endnote Text Char1"/>
    <w:basedOn w:val="DefaultParagraphFont"/>
    <w:link w:val="EndnoteText"/>
    <w:uiPriority w:val="99"/>
    <w:semiHidden w:val="1"/>
    <w:rPr>
      <w:rFonts w:ascii="Times New Roman" w:cs="Times New Roman" w:eastAsia="Times New Roman" w:hAnsi="Times New Roman"/>
      <w:sz w:val="20"/>
      <w:szCs w:val="20"/>
      <w:lang w:eastAsia="pl-PL"/>
    </w:rPr>
  </w:style>
  <w:style w:type="character" w:styleId="EndnoteReference">
    <w:name w:val="endnote reference"/>
    <w:basedOn w:val="DefaultParagraphFont"/>
    <w:uiPriority w:val="99"/>
    <w:semiHidden w:val="1"/>
    <w:unhideWhenUsed w:val="1"/>
    <w:rPr>
      <w:vertAlign w:val="superscript"/>
    </w:rPr>
  </w:style>
  <w:style w:type="character" w:styleId="name" w:customStyle="1">
    <w:name w:val="name"/>
    <w:basedOn w:val="DefaultParagraphFont"/>
  </w:style>
  <w:style w:type="paragraph" w:styleId="Revision">
    <w:name w:val="Revision"/>
    <w:hidden w:val="1"/>
    <w:uiPriority w:val="99"/>
    <w:semiHidden w:val="1"/>
  </w:style>
  <w:style w:type="character" w:styleId="JDBodyText12ptBlackChar" w:customStyle="1">
    <w:name w:val="JD_Body_Text_12pt_Black Char"/>
    <w:basedOn w:val="DefaultParagraphFont"/>
    <w:link w:val="JDBodyText12ptBlack"/>
    <w:rPr>
      <w:rFonts w:ascii="Verdana" w:eastAsia="Cambria" w:hAnsi="Verdana"/>
      <w:color w:val="000000"/>
      <w:sz w:val="24"/>
      <w:szCs w:val="24"/>
    </w:rPr>
  </w:style>
  <w:style w:type="paragraph" w:styleId="JDBodyText12ptBlack" w:customStyle="1">
    <w:name w:val="JD_Body_Text_12pt_Black"/>
    <w:basedOn w:val="Normal"/>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val="1"/>
    <w:unhideWhenUsed w:val="1"/>
    <w:rPr>
      <w:color w:val="605e5c"/>
      <w:shd w:color="auto" w:fill="e1dfdd" w:val="clear"/>
    </w:rPr>
  </w:style>
  <w:style w:type="table" w:styleId="StGen0" w:customStyle="1">
    <w:name w:val="StGen0"/>
    <w:basedOn w:val="TableNormal2"/>
    <w:tblPr>
      <w:tblStyleRowBandSize w:val="1"/>
      <w:tblStyleColBandSize w:val="1"/>
      <w:tblCellMar>
        <w:left w:w="198.0" w:type="dxa"/>
        <w:right w:w="198.0" w:type="dxa"/>
      </w:tblCellMar>
    </w:tblPr>
  </w:style>
  <w:style w:type="table" w:styleId="StGen1" w:customStyle="1">
    <w:name w:val="StGen1"/>
    <w:basedOn w:val="TableNormal2"/>
    <w:tblPr>
      <w:tblStyleRowBandSize w:val="1"/>
      <w:tblStyleColBandSize w:val="1"/>
      <w:tblCellMar>
        <w:left w:w="198.0" w:type="dxa"/>
        <w:right w:w="198.0" w:type="dxa"/>
      </w:tblCellMar>
    </w:tblPr>
  </w:style>
  <w:style w:type="paragraph" w:styleId="Subtitle">
    <w:name w:val="Subtitle"/>
    <w:basedOn w:val="Normal"/>
    <w:next w:val="Normal"/>
    <w:pPr>
      <w:pBdr>
        <w:top w:color="000000" w:space="0" w:sz="0" w:val="none"/>
        <w:left w:color="000000" w:space="0" w:sz="0" w:val="none"/>
        <w:bottom w:color="000000" w:space="0" w:sz="0" w:val="none"/>
        <w:right w:color="000000" w:space="0" w:sz="0" w:val="none"/>
        <w:between w:color="000000" w:space="0" w:sz="0" w:val="none"/>
      </w:pBdr>
      <w:spacing w:after="200" w:before="200" w:lineRule="auto"/>
    </w:pPr>
    <w:rPr>
      <w:color w:val="000000"/>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WnHxf/8m4Ex4+QQE+R/8pISNMQ==">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2025-03-13T16:18:00Z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