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Maszyny John Deere w pełnej gotowości: przygotowania do zbiorów roślin gruboziarnistych </w:t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spacing w:line="276" w:lineRule="auto"/>
        <w:ind w:left="720" w:hanging="360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 zależności od wybranych upraw i warunków pogodowych, kombajny wymagają odpowiednich ustawień oraz akcesoriów, które zapewnią efektywną pracę.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spacing w:line="276" w:lineRule="auto"/>
        <w:ind w:left="720" w:hanging="360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Kombajny serii T, S i X oferują liczne ułatwienia przy zbiorze konkretnych plonów, dzięki którym rolnicy utrzymują niski poziom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strat ziarna oraz jak najwyższą jakością plonów. 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Verdana" w:cs="Verdana" w:eastAsia="Verdana" w:hAnsi="Verdana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jc w:val="both"/>
        <w:rPr>
          <w:rFonts w:ascii="Verdana" w:cs="Verdana" w:eastAsia="Verdana" w:hAnsi="Verdana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Zbliżający się sezon zbiorów roślin gruboziarnistych, takich jak: kukurydza, sorgo, słonecznik, groch czy fasola, wymaga właściwej organizacji pracy oraz wcześniejszego, odpowiedniego przygotowania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kombajnu. Zmienność warunków pogodowych, wilgotność ziarna oraz specyfika zbieranych nasion stawiają przed rolnikami szereg wyzwań. Jak przeprowadzić zbiory, aby zapewnić niski poziom  strat ziarna oraz jak najwyższą jakość plonów? </w:t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Wilgotność ziarna kukurydzy podczas zbiorów w Europie może wahać się od 16% do nawet 45%, jednak dzięki nowoczesnym rozwiązaniom technicznym kombajny John Deere serii T, S i X zapewniają rolnikom pełną kontrolę nad procesem zbiorów, nawet w najtrudniejszych warunkach. </w:t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Kombajn serii T – optymalizacja w mokrych warunkach</w:t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Rolnicy korzystający z kombajnów serii T mogą cieszyć się udoskonalonymi funkcjami do zbiorów wilgotnych lub lepkich roślin, takich jak kukurydza i słonecznik. Kombajn wyposażony jest w obrotową szczotkę zespołu chłodzącego, która utrzymuje osłonę chłodnicy w czystości, zapewniając dłuższą żywotność maszyn. Dodatkowo, zgarniaki górnego wału przenośnika pochyłego zapobiegają gromadzeniu się i owijaniu materiału podczas pracy w mokrych warunkach.</w:t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Aby uniknąć problemów z zapychaniem maszyn i zmniejszyć ilość niedomłotów, rolnicy mogą zamontować specjalne płyty osłonowe na chwytaczu kamieni oraz płyty zaślepiające na bębnie młócącym (usprawni to pracę szczególnie przy niskich prędkościach bębna). W przypadku bardzo wrażliwych roślin lub mokrych warunków zbioru efektywność pracy może podnieść wykorzystanie 2-biegowego napędu bębna młócącego, który pozwala zmniejszać prędkości bębna w zakresie 220–490 obr./min. Warto także wyposażyć maszynę w sprzęgło przeciążeniowe przenośnika czystego ziarna.</w:t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Przy zbiorze kukurydzy o wilgotności ziarna do 35% warto zastosować sito górne i dolne przeznaczone do zbioru kukurydzy. Natomiast w sytuacjach, gdy ziarno ma wysoką wilgotność (powyżej 35%), kombajn serii T zalecamy wyposażyć w dedykowane sito górne do kukurydzy, zdemontowanie sita dolnego i zamontowanie płyty osłonowej nad ślimakiem transportującym niedomłoty. 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Niezależnie od poziomu wilgotności ziarna zestaw do resztek kukurydzy (deflektor kolb i osłona) pomoże ochronić sita przed uszkodzeniem.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Podczas zbiorów kukurydzy na CCM (Corn-Cob-Mix) przydatne mogą okazać się sita typu „frog mouth”.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Do zbioru mokrej kukurydzy, fasoli czy grochu warto użyć stalowych łopatek przenośnika czystego ziarna, co pomoże zapobiegać gromadzeniu się materiału w przenośniku. 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Przy zbiorach słonecznika warto zastosować gumowe klapy, które ułatwiają transport łodyg do rozdrabniacza oraz zapobiegają gromadzeniu się masy na wytrząsaczach.</w:t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color w:val="00b050"/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62.0" w:type="dxa"/>
        <w:jc w:val="left"/>
        <w:tblBorders>
          <w:top w:color="ffffff" w:space="0" w:sz="4" w:val="single"/>
          <w:left w:color="ffffff" w:space="0" w:sz="4" w:val="single"/>
          <w:bottom w:color="ffffff" w:space="0" w:sz="4" w:val="single"/>
          <w:right w:color="ffffff" w:space="0" w:sz="4" w:val="single"/>
          <w:insideH w:color="ffffff" w:space="0" w:sz="4" w:val="single"/>
          <w:insideV w:color="ffffff" w:space="0" w:sz="4" w:val="single"/>
        </w:tblBorders>
        <w:tblLayout w:type="fixed"/>
        <w:tblLook w:val="0400"/>
      </w:tblPr>
      <w:tblGrid>
        <w:gridCol w:w="2689"/>
        <w:gridCol w:w="1842"/>
        <w:gridCol w:w="1843"/>
        <w:gridCol w:w="2688"/>
        <w:tblGridChange w:id="0">
          <w:tblGrid>
            <w:gridCol w:w="2689"/>
            <w:gridCol w:w="1842"/>
            <w:gridCol w:w="1843"/>
            <w:gridCol w:w="2688"/>
          </w:tblGrid>
        </w:tblGridChange>
      </w:tblGrid>
      <w:tr>
        <w:trPr>
          <w:cantSplit w:val="0"/>
          <w:trHeight w:val="510" w:hRule="atLeast"/>
          <w:tblHeader w:val="0"/>
        </w:trPr>
        <w:tc>
          <w:tcPr>
            <w:shd w:fill="367c2b" w:val="clear"/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Arial" w:cs="Arial" w:eastAsia="Arial" w:hAnsi="Arial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rtl w:val="0"/>
              </w:rPr>
              <w:t xml:space="preserve">Opis</w:t>
            </w:r>
          </w:p>
        </w:tc>
        <w:tc>
          <w:tcPr>
            <w:shd w:fill="367c2b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Arial" w:cs="Arial" w:eastAsia="Arial" w:hAnsi="Arial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rtl w:val="0"/>
              </w:rPr>
              <w:t xml:space="preserve">Nr kat. — kombajny z 5 wytrząsaczami</w:t>
            </w:r>
          </w:p>
        </w:tc>
        <w:tc>
          <w:tcPr>
            <w:shd w:fill="367c2b" w:val="clear"/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Arial" w:cs="Arial" w:eastAsia="Arial" w:hAnsi="Arial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rtl w:val="0"/>
              </w:rPr>
              <w:t xml:space="preserve">Nr kat. — kombajny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Arial" w:cs="Arial" w:eastAsia="Arial" w:hAnsi="Arial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rtl w:val="0"/>
              </w:rPr>
              <w:t xml:space="preserve">z 6 wytrząsaczami</w:t>
            </w:r>
          </w:p>
        </w:tc>
        <w:tc>
          <w:tcPr>
            <w:shd w:fill="367c2b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Arial" w:cs="Arial" w:eastAsia="Arial" w:hAnsi="Arial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rtl w:val="0"/>
              </w:rPr>
              <w:t xml:space="preserve">Ilustracja</w:t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Szczotka obrotowa zespołu chłodzącego</w:t>
            </w:r>
          </w:p>
        </w:tc>
        <w:tc>
          <w:tcPr>
            <w:gridSpan w:val="2"/>
            <w:shd w:fill="e5e6e6" w:val="clear"/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BXE10782</w:t>
            </w:r>
          </w:p>
        </w:tc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w:drawing>
                <wp:inline distB="0" distT="0" distL="0" distR="0">
                  <wp:extent cx="1073689" cy="718865"/>
                  <wp:effectExtent b="0" l="0" r="0" t="0"/>
                  <wp:docPr id="804536814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689" cy="7188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shd w:fill="cccccc" w:val="clear"/>
            <w:vAlign w:val="center"/>
          </w:tcPr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Zgarniak górnego wału</w:t>
            </w:r>
          </w:p>
        </w:tc>
        <w:tc>
          <w:tcPr>
            <w:shd w:fill="cccccc" w:val="clear"/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 × HXE42714</w:t>
            </w:r>
          </w:p>
        </w:tc>
        <w:tc>
          <w:tcPr>
            <w:shd w:fill="cccccc" w:val="clear"/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 × HXE42392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 × HXE42393</w:t>
            </w:r>
          </w:p>
        </w:tc>
        <w:tc>
          <w:tcPr>
            <w:shd w:fill="cccccc" w:val="clear"/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w:drawing>
                <wp:inline distB="0" distT="0" distL="0" distR="0">
                  <wp:extent cx="1119411" cy="657555"/>
                  <wp:effectExtent b="0" l="0" r="0" t="0"/>
                  <wp:docPr id="804536817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411" cy="6575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Płyta osłonowa chwytacza kamieni</w:t>
            </w:r>
          </w:p>
        </w:tc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AXE64393</w:t>
            </w:r>
          </w:p>
        </w:tc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AXE64392</w:t>
            </w:r>
          </w:p>
        </w:tc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shd w:fill="cccccc" w:val="clear"/>
            <w:vAlign w:val="center"/>
          </w:tcPr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Płyty zaślepiające do bębna młócącego</w:t>
            </w:r>
          </w:p>
        </w:tc>
        <w:tc>
          <w:tcPr>
            <w:shd w:fill="cccccc" w:val="clear"/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BXE11038</w:t>
            </w:r>
          </w:p>
        </w:tc>
        <w:tc>
          <w:tcPr>
            <w:shd w:fill="cccccc" w:val="clear"/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BXE11037</w:t>
            </w:r>
          </w:p>
        </w:tc>
        <w:tc>
          <w:tcPr>
            <w:shd w:fill="cccccc" w:val="clear"/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w:drawing>
                <wp:inline distB="0" distT="0" distL="0" distR="0">
                  <wp:extent cx="1097398" cy="834022"/>
                  <wp:effectExtent b="0" l="0" r="0" t="0"/>
                  <wp:docPr id="804536816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398" cy="83402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Wkładki klepiska do zbioru kukurydzy (do klepisk dzielonych na sekcje)</w:t>
            </w:r>
          </w:p>
        </w:tc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BXE10910</w:t>
            </w:r>
          </w:p>
        </w:tc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BXE10909</w:t>
            </w:r>
          </w:p>
        </w:tc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w:drawing>
                <wp:inline distB="0" distT="0" distL="0" distR="0">
                  <wp:extent cx="1110827" cy="581551"/>
                  <wp:effectExtent b="0" l="0" r="0" t="0"/>
                  <wp:docPr id="804536819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0827" cy="58155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2-biegowy napęd bębna młócącego</w:t>
            </w:r>
          </w:p>
        </w:tc>
        <w:tc>
          <w:tcPr>
            <w:gridSpan w:val="2"/>
            <w:shd w:fill="d0cece" w:val="clear"/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BZ13350</w:t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w:drawing>
                <wp:inline distB="0" distT="0" distL="0" distR="0">
                  <wp:extent cx="1086822" cy="705949"/>
                  <wp:effectExtent b="0" l="0" r="0" t="0"/>
                  <wp:docPr id="804536818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822" cy="70594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Sita Premium do kukurydzy, wilgotność &lt;35%</w:t>
            </w:r>
          </w:p>
        </w:tc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AXE63391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_____________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AXE62801</w:t>
            </w:r>
          </w:p>
        </w:tc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AXE63397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oraz</w:t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AXE63395</w:t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____________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AXE61528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oraz</w:t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AXE61529</w:t>
            </w:r>
          </w:p>
        </w:tc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Sita Premium do kukurydzy, wilgotność &gt;35%</w:t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AXE63391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______________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KXE10367</w:t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AXE63397</w:t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oraz 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AXE63395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____________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KXE10368</w:t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w:drawing>
                <wp:inline distB="0" distT="0" distL="0" distR="0">
                  <wp:extent cx="1292390" cy="1092805"/>
                  <wp:effectExtent b="0" l="0" r="0" t="0"/>
                  <wp:docPr id="804536821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390" cy="109280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Sita do zbioru kukurydzy na CCM</w:t>
            </w:r>
          </w:p>
        </w:tc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AXE48126</w:t>
            </w:r>
          </w:p>
        </w:tc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AXE47992</w:t>
            </w:r>
          </w:p>
        </w:tc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w:drawing>
                <wp:inline distB="0" distT="0" distL="0" distR="0">
                  <wp:extent cx="894374" cy="527118"/>
                  <wp:effectExtent b="0" l="0" r="0" t="0"/>
                  <wp:docPr id="804536820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374" cy="52711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Sprzęgło przeciążeniowe przenośnika czystego ziarna</w:t>
            </w:r>
          </w:p>
        </w:tc>
        <w:tc>
          <w:tcPr>
            <w:gridSpan w:val="2"/>
            <w:shd w:fill="d0cece" w:val="clear"/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BXE10398</w:t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w:drawing>
                <wp:inline distB="0" distT="0" distL="0" distR="0">
                  <wp:extent cx="840872" cy="606303"/>
                  <wp:effectExtent b="0" l="0" r="0" t="0"/>
                  <wp:docPr id="804536824" name="image16.png"/>
                  <a:graphic>
                    <a:graphicData uri="http://schemas.openxmlformats.org/drawingml/2006/picture">
                      <pic:pic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872" cy="60630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Stalowe łopatki przenośnika czystego ziarna</w:t>
            </w:r>
          </w:p>
        </w:tc>
        <w:tc>
          <w:tcPr>
            <w:gridSpan w:val="2"/>
            <w:shd w:fill="e5e6e6" w:val="clear"/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HXE40536 lub BXE10275 (zestaw 3 szt.)</w:t>
            </w:r>
          </w:p>
        </w:tc>
        <w:tc>
          <w:tcPr>
            <w:shd w:fill="e5e6e6" w:val="clear"/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w:drawing>
                <wp:inline distB="0" distT="0" distL="0" distR="0">
                  <wp:extent cx="875942" cy="428531"/>
                  <wp:effectExtent b="0" l="0" r="0" t="0"/>
                  <wp:docPr id="804536822" name="image15.png"/>
                  <a:graphic>
                    <a:graphicData uri="http://schemas.openxmlformats.org/drawingml/2006/picture">
                      <pic:pic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942" cy="42853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Gumowa klapa wytrząsacza</w:t>
            </w:r>
          </w:p>
        </w:tc>
        <w:tc>
          <w:tcPr>
            <w:gridSpan w:val="2"/>
            <w:shd w:fill="d0cece" w:val="clear"/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Do jednego wytrząsacza:</w:t>
            </w:r>
          </w:p>
          <w:p w:rsidR="00000000" w:rsidDel="00000000" w:rsidP="00000000" w:rsidRDefault="00000000" w:rsidRPr="00000000" w14:paraId="0000005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 × Z61529</w:t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 × Z47791</w:t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 × 14M7303</w:t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 × 24M7100</w:t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06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shd w:fill="e7e6e6" w:val="clear"/>
            <w:vAlign w:val="center"/>
          </w:tcPr>
          <w:p w:rsidR="00000000" w:rsidDel="00000000" w:rsidP="00000000" w:rsidRDefault="00000000" w:rsidRPr="00000000" w14:paraId="00000063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Zestaw do przygotowania rozdrabniacza</w:t>
            </w:r>
          </w:p>
        </w:tc>
        <w:tc>
          <w:tcPr>
            <w:shd w:fill="e7e6e6" w:val="clear"/>
            <w:vAlign w:val="center"/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BXE10620</w:t>
            </w:r>
          </w:p>
        </w:tc>
        <w:tc>
          <w:tcPr>
            <w:shd w:fill="e7e6e6" w:val="clear"/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BXE10621</w:t>
            </w:r>
          </w:p>
        </w:tc>
        <w:tc>
          <w:tcPr>
            <w:shd w:fill="e7e6e6" w:val="clear"/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w:drawing>
                <wp:inline distB="0" distT="0" distL="0" distR="0">
                  <wp:extent cx="1561636" cy="937055"/>
                  <wp:effectExtent b="0" l="0" r="0" t="0"/>
                  <wp:docPr id="804536827" name="image20.png"/>
                  <a:graphic>
                    <a:graphicData uri="http://schemas.openxmlformats.org/drawingml/2006/picture">
                      <pic:pic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6"/>
                          <a:srcRect b="0" l="0" r="0" t="60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636" cy="9370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7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Kombajn serii S – wysoka wydajność i elastyczność</w:t>
      </w:r>
    </w:p>
    <w:p w:rsidR="00000000" w:rsidDel="00000000" w:rsidP="00000000" w:rsidRDefault="00000000" w:rsidRPr="00000000" w14:paraId="0000006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Do zbioru roślin gruboziarnistych zalecamy zastosowanie klepiska o prętach okrągłych. W przypadku niektórych roślin i w określonych warunkach dobrze sprawdzi się natomiast klepisko z następującą konfiguracją segmentów: duże otwory – duże otwory – duże otwory. Obie wersje klepiska są dostępne również w wersji o podwyższonej odporności na zużycie, z roczną powierzchnią zbioru powyżej 500 ha. </w:t>
      </w:r>
    </w:p>
    <w:p w:rsidR="00000000" w:rsidDel="00000000" w:rsidP="00000000" w:rsidRDefault="00000000" w:rsidRPr="00000000" w14:paraId="0000006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numPr>
          <w:ilvl w:val="0"/>
          <w:numId w:val="3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Do zbiorów wrażliwych upraw, takich jak kukurydza na popcorn czy słonecznik jadalny, w kombajnach serii S jest możliwość zamontowania napędu wolnoobrotowego przenośnika pochyłego, który minimalizuje uszkodzenia ziaren. </w:t>
      </w:r>
    </w:p>
    <w:p w:rsidR="00000000" w:rsidDel="00000000" w:rsidP="00000000" w:rsidRDefault="00000000" w:rsidRPr="00000000" w14:paraId="0000006F">
      <w:pPr>
        <w:numPr>
          <w:ilvl w:val="0"/>
          <w:numId w:val="3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Przy wilgotności ziarna kukurydzy do 25% warto zamontować standardowe sita z długimi zębami. </w:t>
      </w:r>
    </w:p>
    <w:p w:rsidR="00000000" w:rsidDel="00000000" w:rsidP="00000000" w:rsidRDefault="00000000" w:rsidRPr="00000000" w14:paraId="00000070">
      <w:pPr>
        <w:numPr>
          <w:ilvl w:val="0"/>
          <w:numId w:val="3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Gdy wilgotność ziarna przekracza 25% najlepszą opcją jest wybór sita Premium do kukurydzy, demontaż sita dolnego i zamontowanie płyty osłonowej nad ślimakiem niedomłotów. </w:t>
      </w:r>
    </w:p>
    <w:p w:rsidR="00000000" w:rsidDel="00000000" w:rsidP="00000000" w:rsidRDefault="00000000" w:rsidRPr="00000000" w14:paraId="00000071">
      <w:pPr>
        <w:numPr>
          <w:ilvl w:val="0"/>
          <w:numId w:val="3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Przy zbiorze kukurydzy przeznaczonej na CCM i słonecznika warto zamontować dostarczone wraz z maszyną elementy dystansowe rusztu separatora.</w:t>
      </w:r>
    </w:p>
    <w:p w:rsidR="00000000" w:rsidDel="00000000" w:rsidP="00000000" w:rsidRDefault="00000000" w:rsidRPr="00000000" w14:paraId="00000072">
      <w:pPr>
        <w:numPr>
          <w:ilvl w:val="0"/>
          <w:numId w:val="3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Podczas zbiorów kukurydzy na CCM szczególnie przydatne mogą okazać się sita typu „frog mouth”.</w:t>
      </w:r>
    </w:p>
    <w:p w:rsidR="00000000" w:rsidDel="00000000" w:rsidP="00000000" w:rsidRDefault="00000000" w:rsidRPr="00000000" w14:paraId="00000073">
      <w:pPr>
        <w:numPr>
          <w:ilvl w:val="0"/>
          <w:numId w:val="3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Niezależnie od poziomu wilgotności ziarna kukurydzy konieczne jest opuszczenie standardowego deflektora kolb w celu ochrony sita górnego oraz zastosowanie osłony bębna nasiębiernego.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numPr>
          <w:ilvl w:val="0"/>
          <w:numId w:val="3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maszynach z Advanced PowerCast warto zamontować wzmocnione łopatki rozrzutnika.</w:t>
      </w:r>
    </w:p>
    <w:p w:rsidR="00000000" w:rsidDel="00000000" w:rsidP="00000000" w:rsidRDefault="00000000" w:rsidRPr="00000000" w14:paraId="00000075">
      <w:pPr>
        <w:spacing w:line="276" w:lineRule="auto"/>
        <w:ind w:left="72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0"/>
      </w:sdtPr>
      <w:sdtContent>
        <w:tbl>
          <w:tblPr>
            <w:tblStyle w:val="Table2"/>
            <w:tblW w:w="9246.0" w:type="dxa"/>
            <w:jc w:val="left"/>
            <w:tbl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  <w:insideH w:color="ffffff" w:space="0" w:sz="4" w:val="single"/>
              <w:insideV w:color="ffffff" w:space="0" w:sz="4" w:val="single"/>
            </w:tblBorders>
            <w:tblLayout w:type="fixed"/>
            <w:tblLook w:val="0400"/>
          </w:tblPr>
          <w:tblGrid>
            <w:gridCol w:w="3082"/>
            <w:gridCol w:w="3082"/>
            <w:gridCol w:w="3082"/>
            <w:tblGridChange w:id="0">
              <w:tblGrid>
                <w:gridCol w:w="3082"/>
                <w:gridCol w:w="3082"/>
                <w:gridCol w:w="3082"/>
              </w:tblGrid>
            </w:tblGridChange>
          </w:tblGrid>
          <w:tr>
            <w:trPr>
              <w:cantSplit w:val="0"/>
              <w:trHeight w:val="542" w:hRule="atLeast"/>
              <w:tblHeader w:val="0"/>
            </w:trPr>
            <w:tc>
              <w:tcPr>
                <w:shd w:fill="367c2b" w:val="clear"/>
                <w:vAlign w:val="center"/>
              </w:tcPr>
              <w:p w:rsidR="00000000" w:rsidDel="00000000" w:rsidP="00000000" w:rsidRDefault="00000000" w:rsidRPr="00000000" w14:paraId="00000077">
                <w:pPr>
                  <w:jc w:val="center"/>
                  <w:rPr>
                    <w:rFonts w:ascii="Arial" w:cs="Arial" w:eastAsia="Arial" w:hAnsi="Arial"/>
                    <w:color w:val="fffff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color w:val="ffffff"/>
                    <w:rtl w:val="0"/>
                  </w:rPr>
                  <w:t xml:space="preserve">Opis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367c2b" w:val="clear"/>
                <w:vAlign w:val="center"/>
              </w:tcPr>
              <w:p w:rsidR="00000000" w:rsidDel="00000000" w:rsidP="00000000" w:rsidRDefault="00000000" w:rsidRPr="00000000" w14:paraId="00000078">
                <w:pPr>
                  <w:jc w:val="center"/>
                  <w:rPr>
                    <w:rFonts w:ascii="Arial" w:cs="Arial" w:eastAsia="Arial" w:hAnsi="Arial"/>
                    <w:color w:val="fffff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color w:val="ffffff"/>
                    <w:rtl w:val="0"/>
                  </w:rPr>
                  <w:t xml:space="preserve">Nr kat. — kombajny serii S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367c2b" w:val="clear"/>
                <w:vAlign w:val="center"/>
              </w:tcPr>
              <w:p w:rsidR="00000000" w:rsidDel="00000000" w:rsidP="00000000" w:rsidRDefault="00000000" w:rsidRPr="00000000" w14:paraId="00000079">
                <w:pPr>
                  <w:jc w:val="center"/>
                  <w:rPr>
                    <w:rFonts w:ascii="Arial" w:cs="Arial" w:eastAsia="Arial" w:hAnsi="Arial"/>
                    <w:color w:val="fffff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color w:val="ffffff"/>
                    <w:rtl w:val="0"/>
                  </w:rPr>
                  <w:t xml:space="preserve">Ilustracja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52" w:hRule="atLeast"/>
              <w:tblHeader w:val="0"/>
            </w:trPr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7A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Napęd wolnoobrotowy przenośnika pochyłego</w:t>
                </w:r>
              </w:p>
            </w:tc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7B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BXE10741</w:t>
                </w:r>
              </w:p>
            </w:tc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7C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</w:rPr>
                  <w:drawing>
                    <wp:inline distB="0" distT="0" distL="0" distR="0">
                      <wp:extent cx="1774243" cy="1418827"/>
                      <wp:effectExtent b="0" l="0" r="0" t="0"/>
                      <wp:docPr descr="Ein Bild, das Küchenutensilien enthält.  Automatisch generierte Beschreibung mit mittlerer Zuverlässigkeit" id="804536825" name="image18.png"/>
                      <a:graphic>
                        <a:graphicData uri="http://schemas.openxmlformats.org/drawingml/2006/picture">
                          <pic:pic>
                            <pic:nvPicPr>
                              <pic:cNvPr descr="Ein Bild, das Küchenutensilien enthält.  Automatisch generierte Beschreibung mit mittlerer Zuverlässigkeit" id="0" name="image18.png"/>
                              <pic:cNvPicPr preferRelativeResize="0"/>
                            </pic:nvPicPr>
                            <pic:blipFill>
                              <a:blip r:embed="rId17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74243" cy="1418827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52" w:hRule="atLeast"/>
              <w:tblHeader w:val="0"/>
            </w:trPr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7D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Klepisko o prętach okrągłych</w:t>
                </w:r>
              </w:p>
            </w:tc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7E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BXE10387</w:t>
                </w:r>
              </w:p>
            </w:tc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7F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</w:rPr>
                  <w:drawing>
                    <wp:inline distB="0" distT="0" distL="0" distR="0">
                      <wp:extent cx="1773770" cy="932034"/>
                      <wp:effectExtent b="0" l="0" r="0" t="0"/>
                      <wp:docPr descr="Ein Bild, das Küchenutensilien, Abtropfgestell enthält.  Automatisch generierte Beschreibung" id="804536826" name="image19.png"/>
                      <a:graphic>
                        <a:graphicData uri="http://schemas.openxmlformats.org/drawingml/2006/picture">
                          <pic:pic>
                            <pic:nvPicPr>
                              <pic:cNvPr descr="Ein Bild, das Küchenutensilien, Abtropfgestell enthält.  Automatisch generierte Beschreibung" id="0" name="image19.png"/>
                              <pic:cNvPicPr preferRelativeResize="0"/>
                            </pic:nvPicPr>
                            <pic:blipFill>
                              <a:blip r:embed="rId1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73770" cy="932034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52" w:hRule="atLeast"/>
              <w:tblHeader w:val="0"/>
            </w:trPr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80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Elementy dystansowe rusztu separatora </w:t>
                </w:r>
              </w:p>
            </w:tc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81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(dostarczane z maszyną)</w:t>
                </w:r>
              </w:p>
            </w:tc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82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52" w:hRule="atLeast"/>
              <w:tblHeader w:val="0"/>
            </w:trPr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83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Sita do zbioru kukurydzy z długimi zębami</w:t>
                </w:r>
              </w:p>
            </w:tc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84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AXE62800</w:t>
                </w:r>
              </w:p>
            </w:tc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85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</w:rPr>
                  <w:drawing>
                    <wp:inline distB="0" distT="0" distL="0" distR="0">
                      <wp:extent cx="1833273" cy="1154919"/>
                      <wp:effectExtent b="0" l="0" r="0" t="0"/>
                      <wp:docPr descr="Ein Bild, das Rechteck, Muster, Reihe enthält.  Automatisch generierte Beschreibung" id="804536828" name="image21.png"/>
                      <a:graphic>
                        <a:graphicData uri="http://schemas.openxmlformats.org/drawingml/2006/picture">
                          <pic:pic>
                            <pic:nvPicPr>
                              <pic:cNvPr descr="Ein Bild, das Rechteck, Muster, Reihe enthält.  Automatisch generierte Beschreibung" id="0" name="image21.png"/>
                              <pic:cNvPicPr preferRelativeResize="0"/>
                            </pic:nvPicPr>
                            <pic:blipFill>
                              <a:blip r:embed="rId1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33273" cy="115491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52" w:hRule="atLeast"/>
              <w:tblHeader w:val="0"/>
            </w:trPr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86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Sita Premium do kukurydzy, wilgotność między 25% a 35%</w:t>
                </w:r>
              </w:p>
            </w:tc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87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AXE74418 </w:t>
                </w:r>
              </w:p>
              <w:p w:rsidR="00000000" w:rsidDel="00000000" w:rsidP="00000000" w:rsidRDefault="00000000" w:rsidRPr="00000000" w14:paraId="00000088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(Sita 0,5 mm)</w:t>
                </w:r>
              </w:p>
              <w:p w:rsidR="00000000" w:rsidDel="00000000" w:rsidP="00000000" w:rsidRDefault="00000000" w:rsidRPr="00000000" w14:paraId="00000089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lub </w:t>
                </w:r>
              </w:p>
              <w:p w:rsidR="00000000" w:rsidDel="00000000" w:rsidP="00000000" w:rsidRDefault="00000000" w:rsidRPr="00000000" w14:paraId="0000008A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AXE94945</w:t>
                </w:r>
              </w:p>
              <w:p w:rsidR="00000000" w:rsidDel="00000000" w:rsidP="00000000" w:rsidRDefault="00000000" w:rsidRPr="00000000" w14:paraId="0000008B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 (0,8 mm z litymi listwami)</w:t>
                </w:r>
              </w:p>
            </w:tc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8C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</w:rPr>
                  <w:drawing>
                    <wp:inline distB="0" distT="0" distL="0" distR="0">
                      <wp:extent cx="1835980" cy="1066192"/>
                      <wp:effectExtent b="0" l="0" r="0" t="0"/>
                      <wp:docPr id="804536829" name="image2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3.png"/>
                              <pic:cNvPicPr preferRelativeResize="0"/>
                            </pic:nvPicPr>
                            <pic:blipFill>
                              <a:blip r:embed="rId20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35980" cy="1066192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52" w:hRule="atLeast"/>
              <w:tblHeader w:val="0"/>
            </w:trPr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8D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Sita Premium do zbioru kukurydzy, wilgotność &gt;35%, oraz płyta zaślepiająca nad ślimakiem niedomłotów</w:t>
                </w:r>
              </w:p>
            </w:tc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8E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AXE74418</w:t>
                </w:r>
              </w:p>
              <w:p w:rsidR="00000000" w:rsidDel="00000000" w:rsidP="00000000" w:rsidRDefault="00000000" w:rsidRPr="00000000" w14:paraId="0000008F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0">
                <w:pPr>
                  <w:jc w:val="center"/>
                  <w:rPr>
                    <w:rFonts w:ascii="Arial" w:cs="Arial" w:eastAsia="Arial" w:hAnsi="Arial"/>
                    <w:b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sz w:val="22"/>
                    <w:szCs w:val="22"/>
                    <w:rtl w:val="0"/>
                  </w:rPr>
                  <w:t xml:space="preserve">KXE10367</w:t>
                </w:r>
              </w:p>
            </w:tc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91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</w:rPr>
                  <w:drawing>
                    <wp:inline distB="0" distT="0" distL="0" distR="0">
                      <wp:extent cx="1819365" cy="1311545"/>
                      <wp:effectExtent b="0" l="0" r="0" t="0"/>
                      <wp:docPr descr="Ein Bild, das Rechteck, Grün, Messstab Maßband, Design enthält.  Automatisch generierte Beschreibung" id="804536830" name="image22.png"/>
                      <a:graphic>
                        <a:graphicData uri="http://schemas.openxmlformats.org/drawingml/2006/picture">
                          <pic:pic>
                            <pic:nvPicPr>
                              <pic:cNvPr descr="Ein Bild, das Rechteck, Grün, Messstab Maßband, Design enthält.  Automatisch generierte Beschreibung" id="0" name="image22.png"/>
                              <pic:cNvPicPr preferRelativeResize="0"/>
                            </pic:nvPicPr>
                            <pic:blipFill>
                              <a:blip r:embed="rId21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19365" cy="13115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52" w:hRule="atLeast"/>
              <w:tblHeader w:val="0"/>
            </w:trPr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92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Sita do zbioru kukurydzy na CCM</w:t>
                </w:r>
              </w:p>
            </w:tc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93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AXE48126</w:t>
                </w:r>
              </w:p>
            </w:tc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94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52" w:hRule="atLeast"/>
              <w:tblHeader w:val="0"/>
            </w:trPr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95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Osłona bębna nasiębiernego rozdrabniacza</w:t>
                </w:r>
              </w:p>
            </w:tc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96">
                <w:pPr>
                  <w:jc w:val="center"/>
                  <w:rPr>
                    <w:rFonts w:ascii="Arial" w:cs="Arial" w:eastAsia="Arial" w:hAnsi="Arial"/>
                    <w:b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sz w:val="22"/>
                    <w:szCs w:val="22"/>
                    <w:rtl w:val="0"/>
                  </w:rPr>
                  <w:t xml:space="preserve">BXE11094</w:t>
                </w:r>
              </w:p>
              <w:p w:rsidR="00000000" w:rsidDel="00000000" w:rsidP="00000000" w:rsidRDefault="00000000" w:rsidRPr="00000000" w14:paraId="00000097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8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9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KXE10303</w:t>
                </w:r>
              </w:p>
            </w:tc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9A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</w:rPr>
                  <w:drawing>
                    <wp:inline distB="0" distT="0" distL="0" distR="0">
                      <wp:extent cx="1816917" cy="820813"/>
                      <wp:effectExtent b="0" l="0" r="0" t="0"/>
                      <wp:docPr descr="Ein Bild, das Batterie enthält.  Automatisch generierte Beschreibung mit mittlerer Zuverlässigkeit" id="804536831" name="image24.png"/>
                      <a:graphic>
                        <a:graphicData uri="http://schemas.openxmlformats.org/drawingml/2006/picture">
                          <pic:pic>
                            <pic:nvPicPr>
                              <pic:cNvPr descr="Ein Bild, das Batterie enthält.  Automatisch generierte Beschreibung mit mittlerer Zuverlässigkeit" id="0" name="image24.png"/>
                              <pic:cNvPicPr preferRelativeResize="0"/>
                            </pic:nvPicPr>
                            <pic:blipFill>
                              <a:blip r:embed="rId22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16917" cy="820813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52" w:hRule="atLeast"/>
              <w:tblHeader w:val="0"/>
            </w:trPr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9B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Zestaw łopatek do kukurydzy</w:t>
                </w:r>
              </w:p>
            </w:tc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9C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KXE10135</w:t>
                </w:r>
              </w:p>
            </w:tc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9D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</w:rPr>
                  <w:drawing>
                    <wp:inline distB="0" distT="0" distL="0" distR="0">
                      <wp:extent cx="1709780" cy="936080"/>
                      <wp:effectExtent b="0" l="0" r="0" t="0"/>
                      <wp:docPr descr="Ein Bild, das Design, Reihe, Rechteck enthält.  Automatisch generierte Beschreibung" id="804536832" name="image26.png"/>
                      <a:graphic>
                        <a:graphicData uri="http://schemas.openxmlformats.org/drawingml/2006/picture">
                          <pic:pic>
                            <pic:nvPicPr>
                              <pic:cNvPr descr="Ein Bild, das Design, Reihe, Rechteck enthält.  Automatisch generierte Beschreibung" id="0" name="image26.png"/>
                              <pic:cNvPicPr preferRelativeResize="0"/>
                            </pic:nvPicPr>
                            <pic:blipFill>
                              <a:blip r:embed="rId23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09780" cy="93608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9E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Kombajn serii X – maksymalna niezawodność na polu</w:t>
      </w:r>
    </w:p>
    <w:p w:rsidR="00000000" w:rsidDel="00000000" w:rsidP="00000000" w:rsidRDefault="00000000" w:rsidRPr="00000000" w14:paraId="000000A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Seria X zapewnia rolnikom jeszcze większą wydajność w trudnych warunkach, dzięki zestawowi szczotki, która oczyszcza osłonę obrotową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chłodnicy z mokrych, lepkich osadów, zapewniając utrzymanie wysokiej wydajności silnika.</w:t>
      </w:r>
    </w:p>
    <w:p w:rsidR="00000000" w:rsidDel="00000000" w:rsidP="00000000" w:rsidRDefault="00000000" w:rsidRPr="00000000" w14:paraId="000000A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numPr>
          <w:ilvl w:val="0"/>
          <w:numId w:val="4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Podczas zbioru kukurydzy najlepszym rozwiązaniem są specjalne klepiska o prętach okrągłych, również w wersji z podwyższoną odpornością na zużycie, które zapewniają roczną powierzchnię zbioru ponad 500 ha. </w:t>
      </w:r>
    </w:p>
    <w:p w:rsidR="00000000" w:rsidDel="00000000" w:rsidP="00000000" w:rsidRDefault="00000000" w:rsidRPr="00000000" w14:paraId="000000A6">
      <w:pPr>
        <w:numPr>
          <w:ilvl w:val="0"/>
          <w:numId w:val="4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Przy wilgotności ziarna kukurydzy do 25% warto zamontować sita z długimi zębami, które zapewnią najlepszą wydajność.</w:t>
      </w:r>
    </w:p>
    <w:p w:rsidR="00000000" w:rsidDel="00000000" w:rsidP="00000000" w:rsidRDefault="00000000" w:rsidRPr="00000000" w14:paraId="000000A7">
      <w:pPr>
        <w:numPr>
          <w:ilvl w:val="0"/>
          <w:numId w:val="4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Gdy wilgotność ziarna przekracza 25% najlepszą opcją jest wybór sit Premium do kukurydzy. W przypadku wilgotności ziarna powyżej 35% warto dodatkowo zdemontować sito dolne i zamontować płytę zaślepiającą ślimak transportujący niedomłoty. </w:t>
      </w:r>
    </w:p>
    <w:p w:rsidR="00000000" w:rsidDel="00000000" w:rsidP="00000000" w:rsidRDefault="00000000" w:rsidRPr="00000000" w14:paraId="000000A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3251200</wp:posOffset>
                </wp:positionH>
                <wp:positionV relativeFrom="paragraph">
                  <wp:posOffset>2446020</wp:posOffset>
                </wp:positionV>
                <wp:extent cx="2370455" cy="2247265"/>
                <wp:effectExtent b="0" l="0" r="0" t="0"/>
                <wp:wrapSquare wrapText="bothSides" distB="45720" distT="45720" distL="114300" distR="114300"/>
                <wp:docPr id="804536809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165535" y="2661130"/>
                          <a:ext cx="2360930" cy="2237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ff0000"/>
                                <w:sz w:val="20"/>
                                <w:vertAlign w:val="baseline"/>
                              </w:rPr>
                              <w:t xml:space="preserve">Nie mogę edytować tabeli, uwagi: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ff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ff0000"/>
                                <w:sz w:val="20"/>
                                <w:vertAlign w:val="baseline"/>
                              </w:rPr>
                              <w:t xml:space="preserve">- zamiast „ Podsiewacz Premium do kukurydzy Wilgotność miedzy 25% a 35%” ma być „Sita Premium do kukurydzy, wilgotność miedzy 25% a 35%”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ff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ff0000"/>
                                <w:sz w:val="20"/>
                                <w:vertAlign w:val="baseline"/>
                              </w:rPr>
                              <w:t xml:space="preserve">- zamiast „Podsiewacz Premium do kukurydzy i płyta osłonowa resztek Wilgotność&gt;35%” ma być „Sita Premium do kukurydzy wilgotność &gt;35% oraz płyta zaślepiająca nad ślimakiem niedomłotów.”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3251200</wp:posOffset>
                </wp:positionH>
                <wp:positionV relativeFrom="paragraph">
                  <wp:posOffset>2446020</wp:posOffset>
                </wp:positionV>
                <wp:extent cx="2370455" cy="2247265"/>
                <wp:effectExtent b="0" l="0" r="0" t="0"/>
                <wp:wrapSquare wrapText="bothSides" distB="45720" distT="45720" distL="114300" distR="114300"/>
                <wp:docPr id="804536809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70455" cy="22472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dt>
      <w:sdtPr>
        <w:lock w:val="contentLocked"/>
        <w:tag w:val="goog_rdk_1"/>
      </w:sdtPr>
      <w:sdtContent>
        <w:tbl>
          <w:tblPr>
            <w:tblStyle w:val="Table3"/>
            <w:tblW w:w="9209.0" w:type="dxa"/>
            <w:jc w:val="left"/>
            <w:tbl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  <w:insideH w:color="ffffff" w:space="0" w:sz="4" w:val="single"/>
              <w:insideV w:color="ffffff" w:space="0" w:sz="4" w:val="single"/>
            </w:tblBorders>
            <w:tblLayout w:type="fixed"/>
            <w:tblLook w:val="0400"/>
          </w:tblPr>
          <w:tblGrid>
            <w:gridCol w:w="2983"/>
            <w:gridCol w:w="2983"/>
            <w:gridCol w:w="3243"/>
            <w:tblGridChange w:id="0">
              <w:tblGrid>
                <w:gridCol w:w="2983"/>
                <w:gridCol w:w="2983"/>
                <w:gridCol w:w="3243"/>
              </w:tblGrid>
            </w:tblGridChange>
          </w:tblGrid>
          <w:tr>
            <w:trPr>
              <w:cantSplit w:val="0"/>
              <w:trHeight w:val="535" w:hRule="atLeast"/>
              <w:tblHeader w:val="0"/>
            </w:trPr>
            <w:tc>
              <w:tcPr>
                <w:shd w:fill="367c2b" w:val="clear"/>
                <w:vAlign w:val="center"/>
              </w:tcPr>
              <w:p w:rsidR="00000000" w:rsidDel="00000000" w:rsidP="00000000" w:rsidRDefault="00000000" w:rsidRPr="00000000" w14:paraId="000000AA">
                <w:pPr>
                  <w:jc w:val="center"/>
                  <w:rPr>
                    <w:rFonts w:ascii="Arial" w:cs="Arial" w:eastAsia="Arial" w:hAnsi="Arial"/>
                    <w:color w:val="fffff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color w:val="ffffff"/>
                    <w:rtl w:val="0"/>
                  </w:rPr>
                  <w:t xml:space="preserve">Opis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367c2b" w:val="clear"/>
                <w:vAlign w:val="center"/>
              </w:tcPr>
              <w:p w:rsidR="00000000" w:rsidDel="00000000" w:rsidP="00000000" w:rsidRDefault="00000000" w:rsidRPr="00000000" w14:paraId="000000AB">
                <w:pPr>
                  <w:jc w:val="center"/>
                  <w:rPr>
                    <w:rFonts w:ascii="Arial" w:cs="Arial" w:eastAsia="Arial" w:hAnsi="Arial"/>
                    <w:color w:val="fffff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color w:val="ffffff"/>
                    <w:rtl w:val="0"/>
                  </w:rPr>
                  <w:t xml:space="preserve">Nr kat. — kombajny serii X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367c2b" w:val="clear"/>
                <w:vAlign w:val="center"/>
              </w:tcPr>
              <w:p w:rsidR="00000000" w:rsidDel="00000000" w:rsidP="00000000" w:rsidRDefault="00000000" w:rsidRPr="00000000" w14:paraId="000000AC">
                <w:pPr>
                  <w:jc w:val="center"/>
                  <w:rPr>
                    <w:rFonts w:ascii="Arial" w:cs="Arial" w:eastAsia="Arial" w:hAnsi="Arial"/>
                    <w:color w:val="fffff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color w:val="ffffff"/>
                    <w:rtl w:val="0"/>
                  </w:rPr>
                  <w:t xml:space="preserve">Ilustracja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46" w:hRule="atLeast"/>
              <w:tblHeader w:val="0"/>
            </w:trPr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AD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Zestaw szczotki zespołu chłodzącego</w:t>
                </w:r>
              </w:p>
            </w:tc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AE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BXE11395</w:t>
                </w:r>
              </w:p>
            </w:tc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AF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</w:rPr>
                  <w:drawing>
                    <wp:inline distB="0" distT="0" distL="0" distR="0">
                      <wp:extent cx="1255868" cy="451986"/>
                      <wp:effectExtent b="0" l="0" r="0" t="0"/>
                      <wp:docPr id="804536833" name="image2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5.png"/>
                              <pic:cNvPicPr preferRelativeResize="0"/>
                            </pic:nvPicPr>
                            <pic:blipFill>
                              <a:blip r:embed="rId25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55868" cy="45198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46" w:hRule="atLeast"/>
              <w:tblHeader w:val="0"/>
            </w:trPr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B0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Klepisko o prętach okrągłych</w:t>
                </w:r>
              </w:p>
            </w:tc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B1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BXE11375 — standardowa odporność na zużycie</w:t>
                </w:r>
              </w:p>
              <w:p w:rsidR="00000000" w:rsidDel="00000000" w:rsidP="00000000" w:rsidRDefault="00000000" w:rsidRPr="00000000" w14:paraId="000000B2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BXE11376 — podwyższona odporność na zużycie</w:t>
                </w:r>
              </w:p>
            </w:tc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B3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</w:rPr>
                  <w:drawing>
                    <wp:inline distB="0" distT="0" distL="0" distR="0">
                      <wp:extent cx="1204810" cy="821189"/>
                      <wp:effectExtent b="0" l="0" r="0" t="0"/>
                      <wp:docPr id="804536834" name="image2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7.png"/>
                              <pic:cNvPicPr preferRelativeResize="0"/>
                            </pic:nvPicPr>
                            <pic:blipFill>
                              <a:blip r:embed="rId26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04810" cy="82118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46" w:hRule="atLeast"/>
              <w:tblHeader w:val="0"/>
            </w:trPr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B4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Sito z długimi zębami,</w:t>
                </w:r>
              </w:p>
              <w:p w:rsidR="00000000" w:rsidDel="00000000" w:rsidP="00000000" w:rsidRDefault="00000000" w:rsidRPr="00000000" w14:paraId="000000B5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wilgotność &lt;25%</w:t>
                </w:r>
              </w:p>
            </w:tc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B6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AXE87896</w:t>
                </w:r>
              </w:p>
            </w:tc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B7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</w:rPr>
                  <w:drawing>
                    <wp:inline distB="0" distT="0" distL="0" distR="0">
                      <wp:extent cx="1217082" cy="1413488"/>
                      <wp:effectExtent b="0" l="0" r="0" t="0"/>
                      <wp:docPr id="804536835" name="image2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8.png"/>
                              <pic:cNvPicPr preferRelativeResize="0"/>
                            </pic:nvPicPr>
                            <pic:blipFill>
                              <a:blip r:embed="rId27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7082" cy="1413488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46" w:hRule="atLeast"/>
              <w:tblHeader w:val="0"/>
            </w:trPr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B8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Sita Premium do zbioru kukurydzy, wilgotność między 25% a 35%</w:t>
                </w:r>
              </w:p>
            </w:tc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B9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AXE88343</w:t>
                </w:r>
              </w:p>
            </w:tc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BA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</w:rPr>
                  <w:drawing>
                    <wp:inline distB="0" distT="0" distL="0" distR="0">
                      <wp:extent cx="1209418" cy="1248811"/>
                      <wp:effectExtent b="0" l="0" r="0" t="0"/>
                      <wp:docPr id="804536812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2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09418" cy="124881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46" w:hRule="atLeast"/>
              <w:tblHeader w:val="0"/>
            </w:trPr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BB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Sita Premium do zbioru kukurydzy, wilgotność &gt;35%, oraz płyta zaślepiająca nad ślimakiem niedomłotów</w:t>
                </w:r>
              </w:p>
            </w:tc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BC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AXE88343</w:t>
                </w:r>
              </w:p>
              <w:p w:rsidR="00000000" w:rsidDel="00000000" w:rsidP="00000000" w:rsidRDefault="00000000" w:rsidRPr="00000000" w14:paraId="000000BD">
                <w:pPr>
                  <w:jc w:val="center"/>
                  <w:rPr>
                    <w:rFonts w:ascii="Arial" w:cs="Arial" w:eastAsia="Arial" w:hAnsi="Arial"/>
                    <w:b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sz w:val="22"/>
                    <w:szCs w:val="22"/>
                    <w:rtl w:val="0"/>
                  </w:rPr>
                  <w:t xml:space="preserve">KXE10894</w:t>
                </w:r>
              </w:p>
            </w:tc>
            <w:tc>
              <w:tcPr>
                <w:shd w:fill="e5e6e6" w:val="clear"/>
                <w:vAlign w:val="center"/>
              </w:tcPr>
              <w:p w:rsidR="00000000" w:rsidDel="00000000" w:rsidP="00000000" w:rsidRDefault="00000000" w:rsidRPr="00000000" w14:paraId="000000BE">
                <w:pPr>
                  <w:jc w:val="center"/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</w:rPr>
                  <w:drawing>
                    <wp:inline distB="0" distT="0" distL="0" distR="0">
                      <wp:extent cx="1493039" cy="628321"/>
                      <wp:effectExtent b="0" l="0" r="0" t="0"/>
                      <wp:docPr id="804536813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2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93039" cy="62832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46" w:hRule="atLeast"/>
              <w:tblHeader w:val="0"/>
            </w:trPr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BF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Elementy dystansowe rusztu separatora</w:t>
                </w:r>
              </w:p>
            </w:tc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C0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22"/>
                    <w:szCs w:val="22"/>
                    <w:rtl w:val="0"/>
                  </w:rPr>
                  <w:t xml:space="preserve">(dostarczane z maszyną)</w:t>
                </w:r>
              </w:p>
            </w:tc>
            <w:tc>
              <w:tcPr>
                <w:shd w:fill="cccccc" w:val="clear"/>
                <w:vAlign w:val="center"/>
              </w:tcPr>
              <w:p w:rsidR="00000000" w:rsidDel="00000000" w:rsidP="00000000" w:rsidRDefault="00000000" w:rsidRPr="00000000" w14:paraId="000000C1">
                <w:pPr>
                  <w:rPr>
                    <w:rFonts w:ascii="Arial" w:cs="Arial" w:eastAsia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C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62250" cy="292100"/>
                <wp:effectExtent b="0" l="0" r="0" t="0"/>
                <wp:wrapNone/>
                <wp:docPr id="804536810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62250" cy="292100"/>
                <wp:effectExtent b="0" l="0" r="0" t="0"/>
                <wp:wrapNone/>
                <wp:docPr id="804536810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2250" cy="292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C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C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804536823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28577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804536815" name="image5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5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C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C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CE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CF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D1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D2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33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D3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D4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D6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D7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34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 </w:t>
      </w:r>
    </w:p>
    <w:sectPr>
      <w:headerReference r:id="rId35" w:type="default"/>
      <w:footerReference r:id="rId36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Courier New"/>
  <w:font w:name="jd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10210800</wp:posOffset>
              </wp:positionV>
              <wp:extent cx="7579995" cy="29210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80453680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10210800</wp:posOffset>
              </wp:positionV>
              <wp:extent cx="7579995" cy="29210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804536808" name="image2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9995" cy="292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E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8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4"/>
      <w:tblW w:w="10575.0" w:type="dxa"/>
      <w:jc w:val="left"/>
      <w:tblInd w:w="-1021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D9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-63498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804536811" name="image1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DA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DB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DC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DD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DE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DF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E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E1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1"/>
    <w:uiPriority w:val="9"/>
    <w:qFormat w:val="1"/>
    <w:pPr>
      <w:keepNext w:val="1"/>
      <w:outlineLvl w:val="0"/>
    </w:pPr>
    <w:rPr>
      <w:rFonts w:ascii="Arial" w:hAnsi="Arial"/>
      <w:b w:val="1"/>
      <w:sz w:val="24"/>
    </w:rPr>
  </w:style>
  <w:style w:type="paragraph" w:styleId="Heading2">
    <w:name w:val="heading 2"/>
    <w:basedOn w:val="Normal"/>
    <w:next w:val="Normal"/>
    <w:link w:val="Heading2Char1"/>
    <w:uiPriority w:val="9"/>
    <w:semiHidden w:val="1"/>
    <w:unhideWhenUsed w:val="1"/>
    <w:qFormat w:val="1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Heading3">
    <w:name w:val="heading 3"/>
    <w:basedOn w:val="Normal"/>
    <w:next w:val="Normal"/>
    <w:link w:val="Heading3Char1"/>
    <w:uiPriority w:val="9"/>
    <w:semiHidden w:val="1"/>
    <w:unhideWhenUsed w:val="1"/>
    <w:qFormat w:val="1"/>
    <w:pPr>
      <w:keepNext w:val="1"/>
      <w:keepLines w:val="1"/>
      <w:spacing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 w:val="1"/>
    <w:unhideWhenUsed w:val="1"/>
    <w:qFormat w:val="1"/>
    <w:pPr>
      <w:keepNext w:val="1"/>
      <w:keepLines w:val="1"/>
      <w:spacing w:after="200" w:before="320"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link w:val="Heading5Char1"/>
    <w:uiPriority w:val="9"/>
    <w:semiHidden w:val="1"/>
    <w:unhideWhenUsed w:val="1"/>
    <w:qFormat w:val="1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Heading6">
    <w:name w:val="heading 6"/>
    <w:basedOn w:val="Normal"/>
    <w:next w:val="Normal"/>
    <w:link w:val="Heading6Char1"/>
    <w:uiPriority w:val="9"/>
    <w:semiHidden w:val="1"/>
    <w:unhideWhenUsed w:val="1"/>
    <w:qFormat w:val="1"/>
    <w:pPr>
      <w:keepNext w:val="1"/>
      <w:keepLines w:val="1"/>
      <w:spacing w:after="200" w:before="320"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Heading8">
    <w:name w:val="heading 8"/>
    <w:basedOn w:val="Normal"/>
    <w:next w:val="Normal"/>
    <w:link w:val="Heading8Char1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Heading9">
    <w:name w:val="heading 9"/>
    <w:basedOn w:val="Normal"/>
    <w:next w:val="Normal"/>
    <w:link w:val="Heading9Char1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link w:val="TitleChar1"/>
    <w:uiPriority w:val="10"/>
    <w:qFormat w:val="1"/>
    <w:pPr>
      <w:spacing w:after="200" w:before="300"/>
      <w:contextualSpacing w:val="1"/>
    </w:pPr>
    <w:rPr>
      <w:sz w:val="48"/>
      <w:szCs w:val="48"/>
    </w:rPr>
  </w:style>
  <w:style w:type="table" w:styleId="TableGridLight1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0b7e1" w:space="0" w:sz="4" w:themeColor="accent1" w:themeTint="00008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0b7e1" w:space="0" w:sz="4" w:themeColor="accent1" w:themeTint="00008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5a5a5" w:space="0" w:sz="4" w:themeColor="accent3" w:themeTint="0000FE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5a5a5" w:space="0" w:sz="4" w:themeColor="accent3" w:themeTint="0000FE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2c6e7" w:space="0" w:sz="4" w:themeColor="accent5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2c6e7" w:space="0" w:sz="4" w:themeColor="accent5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dd394" w:space="0" w:sz="4" w:themeColor="accent6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dd394" w:space="0" w:sz="4" w:themeColor="accent6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4472c4" w:space="0" w:sz="4" w:themeColor="accent1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4472c4" w:space="0" w:sz="4" w:themeColor="accent1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c9c9c9" w:space="0" w:sz="4" w:themeColor="accent3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c9c9c9" w:space="0" w:sz="4" w:themeColor="accent3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9bc2e5" w:space="0" w:sz="4" w:themeColor="accent5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9bc2e5" w:space="0" w:sz="4" w:themeColor="accent5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9d08e" w:space="0" w:sz="4" w:themeColor="accent6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9d08e" w:space="0" w:sz="4" w:themeColor="accent6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">
    <w:name w:val="Grid Table Light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0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0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0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0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0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0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0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0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0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0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0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0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0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0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0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0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0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0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0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0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0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0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0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0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0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0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0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0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0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0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0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0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0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0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0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0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a0b7e1" w:space="0" w:sz="4" w:themeColor="accent1" w:themeTint="00008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a0b7e1" w:space="0" w:sz="4" w:themeColor="accent1" w:themeTint="00008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0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0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themeTint="0000FE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a5a5a5" w:space="0" w:sz="4" w:themeColor="accent3" w:themeTint="0000FE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0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0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a2c6e7" w:space="0" w:sz="4" w:themeColor="accent5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0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add394" w:space="0" w:sz="4" w:themeColor="accent6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0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0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0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0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0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0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0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0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0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0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0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0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0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0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0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0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0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0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0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0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0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0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0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0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0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0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0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0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0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0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0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0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0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0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0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0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0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4472c4" w:space="0" w:sz="4" w:themeColor="accent1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0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0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c9c9c9" w:space="0" w:sz="4" w:themeColor="accent3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c9c9c9" w:space="0" w:sz="4" w:themeColor="accent3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0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0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9bc2e5" w:space="0" w:sz="4" w:themeColor="accent5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9bc2e5" w:space="0" w:sz="4" w:themeColor="accent5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0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a9d08e" w:space="0" w:sz="4" w:themeColor="accent6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a9d08e" w:space="0" w:sz="4" w:themeColor="accent6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1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1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1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1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1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1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1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1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1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1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1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1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1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1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1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1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1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1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1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1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1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1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1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1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1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1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1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1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1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1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1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1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1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1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1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1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1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1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1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1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1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1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1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1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1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1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1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1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1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1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1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1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1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1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1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1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1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1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1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1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1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1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1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1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1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1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1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1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1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1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1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1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1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1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1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1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1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1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1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1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1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1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1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Heading4Char" w:customStyle="1">
    <w:name w:val="Heading 4 Char"/>
    <w:basedOn w:val="DefaultParagraphFont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6Char" w:customStyle="1">
    <w:name w:val="Heading 6 Char"/>
    <w:basedOn w:val="DefaultParagraphFont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 w:val="1"/>
    </w:rPr>
  </w:style>
  <w:style w:type="character" w:styleId="IntenseQuoteChar" w:customStyle="1">
    <w:name w:val="Intense Quote Char"/>
    <w:uiPriority w:val="30"/>
    <w:rPr>
      <w:i w:val="1"/>
    </w:rPr>
  </w:style>
  <w:style w:type="table" w:styleId="TableGridLight12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2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2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2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2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2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2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2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2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2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2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2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2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2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2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2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2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2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2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2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2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2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2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2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2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2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2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2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2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2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2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2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2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2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2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2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2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2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2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2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2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2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2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2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2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2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2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2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2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2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2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2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2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2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2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2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2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2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2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2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2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2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2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2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2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2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2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2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2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2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2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2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2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2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2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2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2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2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2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2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2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2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2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basedOn w:val="DefaultParagraphFont"/>
    <w:uiPriority w:val="9"/>
    <w:rPr>
      <w:rFonts w:ascii="Arial" w:cs="Arial" w:eastAsia="Arial" w:hAnsi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cs="Arial" w:eastAsia="Arial" w:hAnsi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cs="Arial" w:eastAsia="Arial" w:hAnsi="Arial"/>
      <w:sz w:val="30"/>
      <w:szCs w:val="30"/>
    </w:rPr>
  </w:style>
  <w:style w:type="character" w:styleId="Heading4Char1" w:customStyle="1">
    <w:name w:val="Heading 4 Char1"/>
    <w:basedOn w:val="DefaultParagraphFont"/>
    <w:link w:val="Heading4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Heading6Char1" w:customStyle="1">
    <w:name w:val="Heading 6 Char1"/>
    <w:basedOn w:val="DefaultParagraphFont"/>
    <w:link w:val="Heading6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1" w:customStyle="1">
    <w:name w:val="Heading 7 Char1"/>
    <w:basedOn w:val="DefaultParagraphFont"/>
    <w:link w:val="Heading7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1" w:customStyle="1">
    <w:name w:val="Heading 8 Char1"/>
    <w:basedOn w:val="DefaultParagraphFont"/>
    <w:link w:val="Heading8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1" w:customStyle="1">
    <w:name w:val="Heading 9 Char1"/>
    <w:basedOn w:val="DefaultParagraphFont"/>
    <w:link w:val="Heading9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1" w:customStyle="1">
    <w:name w:val="Title Char1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1"/>
    <w:uiPriority w:val="11"/>
    <w:qFormat w:val="1"/>
    <w:pPr>
      <w:spacing w:after="200" w:before="200"/>
    </w:pPr>
    <w:rPr>
      <w:sz w:val="24"/>
      <w:szCs w:val="24"/>
    </w:rPr>
  </w:style>
  <w:style w:type="character" w:styleId="SubtitleChar1" w:customStyle="1">
    <w:name w:val="Subtitle Char1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1"/>
    <w:uiPriority w:val="29"/>
    <w:qFormat w:val="1"/>
    <w:pPr>
      <w:ind w:left="720" w:right="720"/>
    </w:pPr>
    <w:rPr>
      <w:i w:val="1"/>
    </w:rPr>
  </w:style>
  <w:style w:type="character" w:styleId="QuoteChar1" w:customStyle="1">
    <w:name w:val="Quote Char1"/>
    <w:link w:val="Quote"/>
    <w:uiPriority w:val="29"/>
    <w:rPr>
      <w:i w:val="1"/>
    </w:rPr>
  </w:style>
  <w:style w:type="paragraph" w:styleId="IntenseQuote">
    <w:name w:val="Intense Quote"/>
    <w:basedOn w:val="Normal"/>
    <w:next w:val="Normal"/>
    <w:link w:val="IntenseQuoteChar1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IntenseQuoteChar1" w:customStyle="1">
    <w:name w:val="Intense Quote Char1"/>
    <w:link w:val="IntenseQuote"/>
    <w:uiPriority w:val="30"/>
    <w:rPr>
      <w:i w:val="1"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CaptionChar" w:customStyle="1">
    <w:name w:val="Caption Char"/>
    <w:uiPriority w:val="99"/>
  </w:style>
  <w:style w:type="table" w:styleId="TableGridLight13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PlainTable1">
    <w:name w:val="Plain Table 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firstRow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tblPr/>
      <w:tcPr>
        <w:shd w:color="f2f2f2" w:fill="auto" w:themeColor="text1" w:themeTint="00000D" w:val="clear"/>
      </w:tcPr>
    </w:tblStylePr>
  </w:style>
  <w:style w:type="table" w:styleId="PlainTable2">
    <w:name w:val="Plain Table 2"/>
    <w:basedOn w:val="TableNormal"/>
    <w:uiPriority w:val="59"/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Row">
      <w:rPr>
        <w:b w:val="1"/>
        <w:caps w:val="1"/>
        <w:color w:val="404040"/>
      </w:rPr>
    </w:tblStylePr>
    <w:tblStylePr w:type="firstCol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lastCol">
      <w:rPr>
        <w:b w:val="1"/>
        <w:caps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 w:val="1"/>
        <w:color w:val="404040"/>
      </w:rPr>
      <w:tblPr/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Row">
      <w:rPr>
        <w:i w:val="1"/>
        <w:color w:val="404040"/>
      </w:rPr>
      <w:tblPr/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right w:color="404040" w:space="0" w:sz="4" w:val="singl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left w:color="404040" w:space="0" w:sz="4" w:val="singl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6a6a6a" w:space="0" w:sz="12" w:themeColor="tex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</w:style>
  <w:style w:type="table" w:styleId="GridTable1Light-Accent113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3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3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3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3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3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2-Accent113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2-Accent213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2-Accent313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2-Accent413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2-Accent513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2-Accent613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3-Accent113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3-Accent213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3-Accent313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3-Accent413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3-Accent513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3-Accent613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4-Accent113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</w:style>
  <w:style w:type="table" w:styleId="GridTable4-Accent213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4-Accent313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4-Accent413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4-Accent513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4-Accent613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band1Vert">
      <w:tblPr/>
      <w:tcPr>
        <w:shd w:color="8a8a8a" w:fill="auto" w:themeColor="text1" w:themeTint="000075" w:val="clear"/>
      </w:tcPr>
    </w:tblStylePr>
    <w:tblStylePr w:type="band1Horz">
      <w:tblPr/>
      <w:tcPr>
        <w:shd w:color="8a8a8a" w:fill="auto" w:themeColor="text1" w:themeTint="000075" w:val="clear"/>
      </w:tcPr>
    </w:tblStylePr>
  </w:style>
  <w:style w:type="table" w:styleId="GridTable5Dark-Accent1" w:customStyle="1">
    <w:name w:val="Grid Table 5 Dark- Accent 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band1Vert">
      <w:tblPr/>
      <w:tcPr>
        <w:shd w:color="a9bee4" w:fill="auto" w:themeColor="accent1" w:themeTint="000075" w:val="clear"/>
      </w:tcPr>
    </w:tblStylePr>
    <w:tblStylePr w:type="band1Horz">
      <w:tblPr/>
      <w:tcPr>
        <w:shd w:color="a9bee4" w:fill="auto" w:themeColor="accent1" w:themeTint="000075" w:val="clear"/>
      </w:tcPr>
    </w:tblStylePr>
  </w:style>
  <w:style w:type="table" w:styleId="GridTable5Dark-Accent213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band1Vert">
      <w:tblPr/>
      <w:tcPr>
        <w:shd w:color="f6c3a0" w:fill="auto" w:themeColor="accent2" w:themeTint="000075" w:val="clear"/>
      </w:tcPr>
    </w:tblStylePr>
    <w:tblStylePr w:type="band1Horz">
      <w:tblPr/>
      <w:tcPr>
        <w:shd w:color="f6c3a0" w:fill="auto" w:themeColor="accent2" w:themeTint="000075" w:val="clear"/>
      </w:tcPr>
    </w:tblStylePr>
  </w:style>
  <w:style w:type="table" w:styleId="GridTable5Dark-Accent313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band1Vert">
      <w:tblPr/>
      <w:tcPr>
        <w:shd w:color="d5d5d5" w:fill="auto" w:themeColor="accent3" w:themeTint="000075" w:val="clear"/>
      </w:tcPr>
    </w:tblStylePr>
    <w:tblStylePr w:type="band1Horz">
      <w:tblPr/>
      <w:tcPr>
        <w:shd w:color="d5d5d5" w:fill="auto" w:themeColor="accent3" w:themeTint="000075" w:val="clear"/>
      </w:tcPr>
    </w:tblStylePr>
  </w:style>
  <w:style w:type="table" w:styleId="GridTable5Dark-Accent4" w:customStyle="1">
    <w:name w:val="Grid Table 5 Dark- Accent 4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band1Vert">
      <w:tblPr/>
      <w:tcPr>
        <w:shd w:color="ffe28a" w:fill="auto" w:themeColor="accent4" w:themeTint="000075" w:val="clear"/>
      </w:tcPr>
    </w:tblStylePr>
    <w:tblStylePr w:type="band1Horz">
      <w:tblPr/>
      <w:tcPr>
        <w:shd w:color="ffe28a" w:fill="auto" w:themeColor="accent4" w:themeTint="000075" w:val="clear"/>
      </w:tcPr>
    </w:tblStylePr>
  </w:style>
  <w:style w:type="table" w:styleId="GridTable5Dark-Accent513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band1Vert">
      <w:tblPr/>
      <w:tcPr>
        <w:shd w:color="b3d0eb" w:fill="auto" w:themeColor="accent5" w:themeTint="000075" w:val="clear"/>
      </w:tcPr>
    </w:tblStylePr>
    <w:tblStylePr w:type="band1Horz">
      <w:tblPr/>
      <w:tcPr>
        <w:shd w:color="b3d0eb" w:fill="auto" w:themeColor="accent5" w:themeTint="000075" w:val="clear"/>
      </w:tcPr>
    </w:tblStylePr>
  </w:style>
  <w:style w:type="table" w:styleId="GridTable5Dark-Accent613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band1Vert">
      <w:tblPr/>
      <w:tcPr>
        <w:shd w:color="bcdba8" w:fill="auto" w:themeColor="accent6" w:themeTint="000075" w:val="clear"/>
      </w:tcPr>
    </w:tblStylePr>
    <w:tblStylePr w:type="band1Horz">
      <w:tblPr/>
      <w:tcPr>
        <w:shd w:color="bcdba8" w:fill="auto" w:themeColor="accent6" w:themeTint="000075" w:val="clear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b w:val="1"/>
        <w:color w:val="7f7f7f" w:themeColor="text1" w:themeShade="000095" w:themeTint="000080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b w:val="1"/>
        <w:color w:val="7f7f7f" w:themeColor="text1" w:themeShade="000095" w:themeTint="000080"/>
      </w:rPr>
    </w:tblStylePr>
    <w:tblStylePr w:type="firstCol">
      <w:rPr>
        <w:b w:val="1"/>
        <w:color w:val="7f7f7f" w:themeColor="text1" w:themeShade="000095" w:themeTint="000080"/>
      </w:rPr>
    </w:tblStylePr>
    <w:tblStylePr w:type="lastCol">
      <w:rPr>
        <w:b w:val="1"/>
        <w:color w:val="7f7f7f" w:themeColor="text1" w:themeShade="000095" w:themeTint="000080"/>
      </w:rPr>
    </w:tblStylePr>
    <w:tblStylePr w:type="band1Vert"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6Colorful-Accent113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3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3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3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3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3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7Colorful-Accent113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3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3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3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3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3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tblPr/>
      <w:tcPr>
        <w:shd w:color="bfbfbf" w:fill="auto" w:themeColor="text1" w:themeTint="000040" w:val="clear"/>
      </w:tcPr>
    </w:tblStylePr>
  </w:style>
  <w:style w:type="table" w:styleId="ListTable1Light-Accent113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tblPr/>
      <w:tcPr>
        <w:shd w:color="cfdbf0" w:fill="auto" w:themeColor="accent1" w:themeTint="000040" w:val="clear"/>
      </w:tcPr>
    </w:tblStylePr>
  </w:style>
  <w:style w:type="table" w:styleId="ListTable1Light-Accent213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tblPr/>
      <w:tcPr>
        <w:shd w:color="fadecb" w:fill="auto" w:themeColor="accent2" w:themeTint="000040" w:val="clear"/>
      </w:tcPr>
    </w:tblStylePr>
  </w:style>
  <w:style w:type="table" w:styleId="ListTable1Light-Accent313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tblPr/>
      <w:tcPr>
        <w:shd w:color="e8e8e8" w:fill="auto" w:themeColor="accent3" w:themeTint="000040" w:val="clear"/>
      </w:tcPr>
    </w:tblStylePr>
  </w:style>
  <w:style w:type="table" w:styleId="ListTable1Light-Accent413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tblPr/>
      <w:tcPr>
        <w:shd w:color="ffefbf" w:fill="auto" w:themeColor="accent4" w:themeTint="000040" w:val="clear"/>
      </w:tcPr>
    </w:tblStylePr>
  </w:style>
  <w:style w:type="table" w:styleId="ListTable1Light-Accent513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tblPr/>
      <w:tcPr>
        <w:shd w:color="d5e5f4" w:fill="auto" w:themeColor="accent5" w:themeTint="000040" w:val="clear"/>
      </w:tcPr>
    </w:tblStylePr>
  </w:style>
  <w:style w:type="table" w:styleId="ListTable1Light-Accent613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tblPr/>
      <w:tcPr>
        <w:shd w:color="daebcf" w:fill="auto" w:themeColor="accent6" w:themeTint="000040" w:val="clear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2-Accent113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2-Accent213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2-Accent313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2-Accent413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2-Accent513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2-Accent613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ListTable3-Accent113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3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3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auto" w:themeColor="accent3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3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3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auto" w:themeColor="accent5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3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uto" w:themeColor="accent6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4-Accent113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4-Accent213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4-Accent313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4-Accent413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4-Accent513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4-Accent613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</w:style>
  <w:style w:type="table" w:styleId="ListTable5Dark-Accent113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</w:style>
  <w:style w:type="table" w:styleId="ListTable5Dark-Accent213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</w:style>
  <w:style w:type="table" w:styleId="ListTable5Dark-Accent313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</w:style>
  <w:style w:type="table" w:styleId="ListTable5Dark-Accent413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</w:style>
  <w:style w:type="table" w:styleId="ListTable5Dark-Accent513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</w:style>
  <w:style w:type="table" w:styleId="ListTable5Dark-Accent613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color w:val="000000" w:themeColor="text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color w:val="000000" w:themeColor="text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color w:val="000000" w:themeColor="text1"/>
      </w:rPr>
    </w:tblStylePr>
    <w:tblStylePr w:type="lastCol">
      <w:rPr>
        <w:b w:val="1"/>
        <w:color w:val="000000" w:themeColor="text1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13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3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3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3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3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3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ListTable7Colorful-Accent113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3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3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3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3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3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ned-Accent" w:customStyle="1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Lined-Accent1" w:customStyle="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Lined-Accent2" w:customStyle="1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Lined-Accent3" w:customStyle="1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Lined-Accent4" w:customStyle="1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Lined-Accent5" w:customStyle="1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Lined-Accent6" w:customStyle="1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Lined-Accent" w:customStyle="1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BorderedLined-Accent1" w:customStyle="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BorderedLined-Accent2" w:customStyle="1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BorderedLined-Accent3" w:customStyle="1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BorderedLined-Accent4" w:customStyle="1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BorderedLined-Accent5" w:customStyle="1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BorderedLined-Accent6" w:customStyle="1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" w:customStyle="1">
    <w:name w:val="Bordered"/>
    <w:basedOn w:val="TableNormal"/>
    <w:uiPriority w:val="99"/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7f7f7f" w:space="0" w:sz="12" w:themeColor="text1" w:themeTint="000080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7f7f7f" w:space="0" w:sz="12" w:themeColor="text1" w:themeTint="000080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</w:style>
  <w:style w:type="table" w:styleId="Bordered-Accent1" w:customStyle="1">
    <w:name w:val="Bordered - Accent 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4472c4" w:space="0" w:sz="12" w:themeColor="accent1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4472c4" w:space="0" w:sz="12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Bordered-Accent2" w:customStyle="1">
    <w:name w:val="Bordered - Accent 2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4b184" w:space="0" w:sz="12" w:themeColor="accent2" w:themeTint="00009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4b184" w:space="0" w:sz="12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Bordered-Accent3" w:customStyle="1">
    <w:name w:val="Bordered - Accent 3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c9c9c9" w:space="0" w:sz="12" w:themeColor="accent3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c9c9c9" w:space="0" w:sz="12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Bordered-Accent4" w:customStyle="1">
    <w:name w:val="Bordered - Accent 4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fd865" w:space="0" w:sz="12" w:themeColor="accent4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fd865" w:space="0" w:sz="12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Bordered-Accent5" w:customStyle="1">
    <w:name w:val="Bordered - Accent 5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9bc2e5" w:space="0" w:sz="12" w:themeColor="accent5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9bc2e5" w:space="0" w:sz="12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Bordered-Accent6" w:customStyle="1">
    <w:name w:val="Bordered - Accent 6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a9d08e" w:space="0" w:sz="12" w:themeColor="accent6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a9d08e" w:space="0" w:sz="12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paragraph" w:styleId="FootnoteText">
    <w:name w:val="footnote text"/>
    <w:basedOn w:val="Normal"/>
    <w:link w:val="FootnoteTextChar1"/>
    <w:uiPriority w:val="99"/>
    <w:semiHidden w:val="1"/>
    <w:unhideWhenUsed w:val="1"/>
    <w:pPr>
      <w:spacing w:after="40"/>
    </w:pPr>
    <w:rPr>
      <w:sz w:val="18"/>
    </w:rPr>
  </w:style>
  <w:style w:type="character" w:styleId="FootnoteTextChar1" w:customStyle="1">
    <w:name w:val="Footnote Text Char1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 w:val="1"/>
    <w:rPr>
      <w:vertAlign w:val="superscript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TOC1">
    <w:name w:val="toc 1"/>
    <w:basedOn w:val="Normal"/>
    <w:next w:val="Normal"/>
    <w:uiPriority w:val="39"/>
    <w:unhideWhenUsed w:val="1"/>
    <w:pPr>
      <w:spacing w:after="57"/>
    </w:pPr>
  </w:style>
  <w:style w:type="paragraph" w:styleId="TOC2">
    <w:name w:val="toc 2"/>
    <w:basedOn w:val="Normal"/>
    <w:next w:val="Normal"/>
    <w:uiPriority w:val="39"/>
    <w:unhideWhenUsed w:val="1"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 w:val="1"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 w:val="1"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 w:val="1"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 w:val="1"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 w:val="1"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 w:val="1"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 w:val="1"/>
    <w:pPr>
      <w:spacing w:after="57"/>
      <w:ind w:left="2268"/>
    </w:pPr>
  </w:style>
  <w:style w:type="paragraph" w:styleId="TOCHeading">
    <w:name w:val="TOC Heading"/>
    <w:uiPriority w:val="39"/>
    <w:unhideWhenUsed w:val="1"/>
  </w:style>
  <w:style w:type="paragraph" w:styleId="TableofFigures">
    <w:name w:val="table of figures"/>
    <w:basedOn w:val="Normal"/>
    <w:next w:val="Normal"/>
    <w:uiPriority w:val="99"/>
    <w:unhideWhenUsed w:val="1"/>
  </w:style>
  <w:style w:type="character" w:styleId="Heading1Char1" w:customStyle="1">
    <w:name w:val="Heading 1 Char1"/>
    <w:basedOn w:val="DefaultParagraphFont"/>
    <w:link w:val="Heading1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Header">
    <w:name w:val="header"/>
    <w:basedOn w:val="Normal"/>
    <w:link w:val="HeaderChar1"/>
    <w:pPr>
      <w:tabs>
        <w:tab w:val="center" w:pos="4153"/>
        <w:tab w:val="right" w:pos="8306"/>
      </w:tabs>
    </w:pPr>
  </w:style>
  <w:style w:type="character" w:styleId="HeaderChar1" w:customStyle="1">
    <w:name w:val="Header Char1"/>
    <w:basedOn w:val="DefaultParagraphFont"/>
    <w:link w:val="Header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Footer">
    <w:name w:val="footer"/>
    <w:basedOn w:val="Normal"/>
    <w:link w:val="FooterChar1"/>
    <w:pPr>
      <w:tabs>
        <w:tab w:val="center" w:pos="4153"/>
        <w:tab w:val="right" w:pos="8306"/>
      </w:tabs>
    </w:pPr>
  </w:style>
  <w:style w:type="character" w:styleId="FooterChar1" w:customStyle="1">
    <w:name w:val="Footer Char1"/>
    <w:basedOn w:val="DefaultParagraphFont"/>
    <w:link w:val="Footer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">
    <w:name w:val="Body Text"/>
    <w:basedOn w:val="Normal"/>
    <w:link w:val="BodyTextChar"/>
    <w:pPr>
      <w:ind w:right="-533"/>
      <w:jc w:val="center"/>
    </w:pPr>
    <w:rPr>
      <w:rFonts w:ascii="Arial" w:hAnsi="Arial"/>
      <w:sz w:val="16"/>
    </w:rPr>
  </w:style>
  <w:style w:type="character" w:styleId="BodyTextChar" w:customStyle="1">
    <w:name w:val="Body Text Char"/>
    <w:basedOn w:val="DefaultParagraphFont"/>
    <w:link w:val="BodyText"/>
    <w:rPr>
      <w:rFonts w:ascii="Arial" w:cs="Times New Roman" w:eastAsia="Times New Roman" w:hAnsi="Arial"/>
      <w:sz w:val="16"/>
      <w:szCs w:val="20"/>
      <w:lang w:eastAsia="pl-PL"/>
    </w:rPr>
  </w:style>
  <w:style w:type="paragraph" w:styleId="NoSpacing">
    <w:name w:val="No Spacing"/>
    <w:uiPriority w:val="1"/>
    <w:qFormat w:val="1"/>
  </w:style>
  <w:style w:type="paragraph" w:styleId="paragraph" w:customStyle="1">
    <w:name w:val="paragraph"/>
    <w:basedOn w:val="Normal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Pr>
      <w:color w:val="954f72" w:themeColor="followedHyperlink"/>
      <w:u w:val="single"/>
    </w:rPr>
  </w:style>
  <w:style w:type="character" w:styleId="Heading5Char1" w:customStyle="1">
    <w:name w:val="Heading 5 Char1"/>
    <w:basedOn w:val="DefaultParagraphFont"/>
    <w:link w:val="Heading5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Heading2Char1" w:customStyle="1">
    <w:name w:val="Heading 2 Char1"/>
    <w:basedOn w:val="DefaultParagraphFont"/>
    <w:link w:val="Heading2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Heading3Char1" w:customStyle="1">
    <w:name w:val="Heading 3 Char1"/>
    <w:basedOn w:val="DefaultParagraphFont"/>
    <w:link w:val="Heading3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 w:val="1"/>
  </w:style>
  <w:style w:type="character" w:styleId="CommentTextChar" w:customStyle="1">
    <w:name w:val="Comment Text Char"/>
    <w:basedOn w:val="DefaultParagraphFont"/>
    <w:link w:val="CommentText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Emphasis">
    <w:name w:val="Emphasis"/>
    <w:basedOn w:val="DefaultParagraphFont"/>
    <w:uiPriority w:val="20"/>
    <w:qFormat w:val="1"/>
    <w:rPr>
      <w:i w:val="1"/>
      <w:iCs w:val="1"/>
    </w:rPr>
  </w:style>
  <w:style w:type="character" w:styleId="Strong">
    <w:name w:val="Strong"/>
    <w:basedOn w:val="DefaultParagraphFont"/>
    <w:uiPriority w:val="22"/>
    <w:qFormat w:val="1"/>
    <w:rPr>
      <w:b w:val="1"/>
      <w:bCs w:val="1"/>
    </w:rPr>
  </w:style>
  <w:style w:type="table" w:styleId="TableGrid">
    <w:name w:val="Table Grid"/>
    <w:basedOn w:val="TableNormal"/>
    <w:uiPriority w:val="59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EndnoteText">
    <w:name w:val="endnote text"/>
    <w:basedOn w:val="Normal"/>
    <w:link w:val="EndnoteTextChar1"/>
    <w:uiPriority w:val="99"/>
    <w:semiHidden w:val="1"/>
    <w:unhideWhenUsed w:val="1"/>
  </w:style>
  <w:style w:type="character" w:styleId="EndnoteTextChar1" w:customStyle="1">
    <w:name w:val="Endnote Text Char1"/>
    <w:basedOn w:val="DefaultParagraphFont"/>
    <w:link w:val="EndnoteText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 w:val="1"/>
    <w:unhideWhenUsed w:val="1"/>
    <w:rPr>
      <w:vertAlign w:val="superscript"/>
    </w:rPr>
  </w:style>
  <w:style w:type="character" w:styleId="name" w:customStyle="1">
    <w:name w:val="name"/>
    <w:basedOn w:val="DefaultParagraphFont"/>
  </w:style>
  <w:style w:type="paragraph" w:styleId="Revision">
    <w:name w:val="Revision"/>
    <w:hidden w:val="1"/>
    <w:uiPriority w:val="99"/>
    <w:semiHidden w:val="1"/>
  </w:style>
  <w:style w:type="character" w:styleId="JDBodyText12ptBlackChar" w:customStyle="1">
    <w:name w:val="JD_Body_Text_12pt_Black Char"/>
    <w:basedOn w:val="DefaultParagraphFont"/>
    <w:link w:val="JDBodyText12ptBlack"/>
    <w:rPr>
      <w:rFonts w:ascii="Verdana" w:eastAsia="Cambria" w:hAnsi="Verdana"/>
      <w:color w:val="000000"/>
      <w:sz w:val="24"/>
      <w:szCs w:val="24"/>
    </w:rPr>
  </w:style>
  <w:style w:type="paragraph" w:styleId="JDBodyText12ptBlack" w:customStyle="1">
    <w:name w:val="JD_Body_Text_12pt_Black"/>
    <w:basedOn w:val="Normal"/>
    <w:link w:val="JDBodyText12ptBlackChar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table" w:styleId="a" w:customStyle="1">
    <w:basedOn w:val="TableNormal"/>
    <w:tblPr>
      <w:tblStyleRowBandSize w:val="1"/>
      <w:tblStyleColBandSize w:val="1"/>
    </w:tblPr>
  </w:style>
  <w:style w:type="table" w:styleId="a0" w:customStyle="1">
    <w:basedOn w:val="TableNormal"/>
    <w:tblPr>
      <w:tblStyleRowBandSize w:val="1"/>
      <w:tblStyleColBandSize w:val="1"/>
    </w:tblPr>
  </w:style>
  <w:style w:type="table" w:styleId="a1" w:customStyle="1">
    <w:basedOn w:val="TableNormal"/>
    <w:tblPr>
      <w:tblStyleRowBandSize w:val="1"/>
      <w:tblStyleColBandSize w:val="1"/>
    </w:tblPr>
  </w:style>
  <w:style w:type="table" w:styleId="a2" w:customStyle="1">
    <w:basedOn w:val="TableNormal"/>
    <w:tblPr>
      <w:tblStyleRowBandSize w:val="1"/>
      <w:tblStyleColBandSize w:val="1"/>
      <w:tblCellMar>
        <w:left w:w="198.0" w:type="dxa"/>
        <w:right w:w="198.0" w:type="dxa"/>
      </w:tblCellMar>
    </w:tbl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  <w:tcPr>
      <w:shd w:fill="a9d08e" w:val="clear"/>
    </w:tcPr>
  </w:style>
  <w:style w:type="table" w:styleId="Table2">
    <w:basedOn w:val="TableNormal"/>
    <w:rPr>
      <w:color w:val="404040"/>
    </w:rPr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  <w:tcPr>
      <w:shd w:fill="a9d08e" w:val="clear"/>
    </w:tcPr>
  </w:style>
  <w:style w:type="table" w:styleId="Table3">
    <w:basedOn w:val="TableNormal"/>
    <w:rPr>
      <w:color w:val="404040"/>
    </w:rPr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  <w:tcPr>
      <w:shd w:fill="a9d08e" w:val="clear"/>
    </w:tcPr>
  </w:style>
  <w:style w:type="table" w:styleId="Table4">
    <w:basedOn w:val="TableNormal"/>
    <w:rPr>
      <w:color w:val="404040"/>
    </w:rPr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  <w:tcPr>
      <w:shd w:fill="a9d08e" w:val="clear"/>
    </w:tc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23.png"/><Relationship Id="rId22" Type="http://schemas.openxmlformats.org/officeDocument/2006/relationships/image" Target="media/image24.png"/><Relationship Id="rId21" Type="http://schemas.openxmlformats.org/officeDocument/2006/relationships/image" Target="media/image22.png"/><Relationship Id="rId24" Type="http://schemas.openxmlformats.org/officeDocument/2006/relationships/image" Target="media/image6.png"/><Relationship Id="rId23" Type="http://schemas.openxmlformats.org/officeDocument/2006/relationships/image" Target="media/image2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png"/><Relationship Id="rId26" Type="http://schemas.openxmlformats.org/officeDocument/2006/relationships/image" Target="media/image27.png"/><Relationship Id="rId25" Type="http://schemas.openxmlformats.org/officeDocument/2006/relationships/image" Target="media/image25.png"/><Relationship Id="rId28" Type="http://schemas.openxmlformats.org/officeDocument/2006/relationships/image" Target="media/image3.png"/><Relationship Id="rId27" Type="http://schemas.openxmlformats.org/officeDocument/2006/relationships/image" Target="media/image28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4.png"/><Relationship Id="rId7" Type="http://schemas.openxmlformats.org/officeDocument/2006/relationships/image" Target="media/image8.png"/><Relationship Id="rId8" Type="http://schemas.openxmlformats.org/officeDocument/2006/relationships/image" Target="media/image10.png"/><Relationship Id="rId31" Type="http://schemas.openxmlformats.org/officeDocument/2006/relationships/image" Target="media/image17.png"/><Relationship Id="rId30" Type="http://schemas.openxmlformats.org/officeDocument/2006/relationships/image" Target="media/image7.png"/><Relationship Id="rId11" Type="http://schemas.openxmlformats.org/officeDocument/2006/relationships/image" Target="media/image11.png"/><Relationship Id="rId33" Type="http://schemas.openxmlformats.org/officeDocument/2006/relationships/hyperlink" Target="mailto:BialasBartosz@JohnDeere.com" TargetMode="External"/><Relationship Id="rId10" Type="http://schemas.openxmlformats.org/officeDocument/2006/relationships/image" Target="media/image13.png"/><Relationship Id="rId32" Type="http://schemas.openxmlformats.org/officeDocument/2006/relationships/image" Target="media/image5.png"/><Relationship Id="rId13" Type="http://schemas.openxmlformats.org/officeDocument/2006/relationships/image" Target="media/image12.png"/><Relationship Id="rId35" Type="http://schemas.openxmlformats.org/officeDocument/2006/relationships/header" Target="header1.xml"/><Relationship Id="rId12" Type="http://schemas.openxmlformats.org/officeDocument/2006/relationships/image" Target="media/image14.png"/><Relationship Id="rId34" Type="http://schemas.openxmlformats.org/officeDocument/2006/relationships/hyperlink" Target="mailto:justyna.tomczak@dotrelations.pl" TargetMode="External"/><Relationship Id="rId15" Type="http://schemas.openxmlformats.org/officeDocument/2006/relationships/image" Target="media/image15.png"/><Relationship Id="rId14" Type="http://schemas.openxmlformats.org/officeDocument/2006/relationships/image" Target="media/image16.png"/><Relationship Id="rId36" Type="http://schemas.openxmlformats.org/officeDocument/2006/relationships/footer" Target="footer1.xml"/><Relationship Id="rId17" Type="http://schemas.openxmlformats.org/officeDocument/2006/relationships/image" Target="media/image18.png"/><Relationship Id="rId16" Type="http://schemas.openxmlformats.org/officeDocument/2006/relationships/image" Target="media/image20.png"/><Relationship Id="rId19" Type="http://schemas.openxmlformats.org/officeDocument/2006/relationships/image" Target="media/image21.png"/><Relationship Id="rId18" Type="http://schemas.openxmlformats.org/officeDocument/2006/relationships/image" Target="media/image19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4ePV7Dt9d2kN19+t9RVwEC/Jsw==">CgMxLjAaHwoBMBIaChgICVIUChJ0YWJsZS4xMHhyYnl5dWVieDgaHwoBMRIaChgICVIUChJ0YWJsZS50OG9xbWkzbHozd2o4AHIhMUxLUFcxRmkxeDl4UnNJX0w4ZUdHRHNjaWhzS1RxR3FN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2024-09-10T19:38:00Z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