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przedstawia nowe kombajny wytrząsaczowe T5 i T6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firstLine="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Najwyższy komfort w kabinie i najnowocześniejsza technologia zbioru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566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Walldorf, 3 czerwca 2024 r.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— firma John Deere ogłosiła dziś wprowadzenie do oferty ośmiu całkowicie nowych modeli kombajnów wytrząsaczowych T5 i T6. Dzięki szerokiej gamie opcji mocy silnika — od solidnego 6,8-litrowego silnika o maksymalnej mocy 305 KM w modelu T5 400 po potężny 9-litrowy silnik JD9X o mocy 466 KM we flagowym modelu T6 800 — te kombajny zapewniają wyjątkową wydajność zbiorów. Nowe kombajny T5 i T6 oferują operatorowi najwyższą jakość obsługi, a kabina z modelu X9 zapewnia najwyższej klasy komfort i funkcjonalność. Ta luksusowa przestrzeń robocza jest wyposażona w fotel ActiveSeatTM II, oświetlenie LED, nowy narożny wyświetlacz słupkowy i elektronicznie sterowane drzwi przeciwpyłowe. Joystick CommandPROTM zapewnia operatorowi intuicyjne i spersonalizowane sterowanie wszystkimi głównymi funkcjami kombajnu. Aby jeszcze bardziej zwiększyć komfort pracy operatora, firma John Deere zintegrowała w tych modelach najnowocześniejsze pakiety technologii rolnictwa precyzyjnego, obejmujące odbiornik StarFireTM 7500, wyświetlacz G5Plus CommandCenter™, łączność JDLinkTM zapewniającą wydajność operacyjną oraz proste zarządzanie danymi.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566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„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Wprowadzenie naszych nowych kombajnów T5 i T6 stanowi znaczący krok naprzód w technologii zbioru w branży kombajnów wytrząsaczowych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” — mówi Jonathan Edwards, kierownik ds. marketingu produktów John Deere w Europie. — „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Zapewnią one rolnikom narzędzia potrzebne do zwiększenia produktywności i wydajności w terenie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”.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566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Szeroki zakres opcji układów napędowych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Osiem nowych modeli* kombajnów T5 i T6 oferuje imponującą gamę opcji mocy silnika, jak na przykład 305 KM (moc maksymalna) w przypadku silnika o pojemności 6,8 l w modelu T5 400, a także 348 KM w przypadku potężnego nowego 9-litrowego silnika JD9X w 5-wytrząsaczowym wariancie T5 500 oraz oszałamiające 466 KM we flagowym 6-wytrząsaczowym modelu T6 800. Wszystkie modele silników JD9X obejmują inteligentne zarządzanie prędkością obrotową silnika, które zwiększa oszczędność paliwa przez redukcję obrotów podczas transportu drogowego i postoju na skrzyżowaniach lub światłach. Wszystkie warianty silnika spełniają rygorystyczne normy emisji spalin Stage V.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Wysoka wydajność zbiorów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Przenośnik pochyły został zaprojektowany tak, aby miał taką samą szerokość jak reszta kanału przepływu masy (1,67 m w modelach 6-wytrząsaczowych), co eliminuje ograniczenia przepływu w całym kombajnie. W połączeniu z dużą powierzchnią omłotu i separacji w kombajnach T5 i T6 zapewnia to wyjątkową wydajność zbiorów. Kombajny z roku modelowego 2025 są również wyposażone w nowe opcje transportu ziarna oraz nowe opcje jego zbiorników — do 13 500 l w modelach T6 (+23%) i 11 500 l w modelach T5 (+15%). Ponadto regulowana końcówka rury wyładowczej zapewnia operatorom większą kontrolę nad rozładunkiem bez względu na posiadaną przyczepę. Prędkość rozładunku przy maksymalnej wydajności sięga 150 l/s, co pozwala na szybki rozładunek 13,5 t ziarna w zaledwie 90 sekund. Ponadto dostępne są rozwiązania do pracy na pochyłościach, z podstawową kompensacją nachylenia do 7%, opcjonalnym pakietem do pracy na pochyłościach (kompensacja do 14%) oraz technologią HillMasterTM z kompensacją do 22%.</w:t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Zwiększona wydajność dzięki precyzyjnym zbiorom</w:t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Te całkowicie nowe kombajny T5 i T6 są wyposażone w zaawansowane rozwiązania John Deere Precision Ag Technology, które obejmują zintegrowany odbiornik StarFireTM 7500 i wyświetlacz G5Plus CommandCenterTM. G5Plus CommandCenterTM zapewnia operatorom duży, 12,8-calowy wyświetlacz o wysokiej rozdzielczości z intuicyjnymi funkcjami menu, co daje najwyższą kontrolę i widoczność podczas zbiorów. Dodatkowo operatorzy mają możliwość wyposażenia kombajnu w dualny monitor G5Plus. Dzięki niemu mogą jednocześnie kontrolować większą liczbę funkcji — na przykład wyświetlać funkcje sterowania pojazdem na głównym wyświetlaczu, a aplikacje rolnictwa precyzyjnego, takie jak AutoPathTM, Machine Sync lub wykrywanie ziarna, na dualnym monitorze. Funkcja Machine Sync umożliwia operatorowi kombajnu sterowanie prędkością, kierunkiem i pozycją ciągnika z wozem przeładowczym, ułatwiając precyzyjny rozładunek bez strat nawet podczas jazdy. HarvestLab oferuje pomiar wilgotności, białka i skrobi w czasie rzeczywistym, na przykład w pszenicy i jęczmieniu**, ułatwiając oddzielanie ziarna o wyższej wartości i wyższej zawartości białka już podczas zbiorów. 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„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Połączenie tych precyzyjnych funkcji technologicznych z łącznością JDLinkTM, która zapewnia płynny dwukierunkowy przesył danych, oraz z John Deere Operations CenterTM, naszym potężnym i kompleksowym rozwiązaniem do cyfrowego zarządzania gospodarstwem, umożliwia klientom planowanie, wykonywanie, monitorowanie i analizowanie każdego etapu działań żniwnych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” — mówi Alexander Schnöder, specjalista ds. produktów do kombajnów T5 i T6. 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Wyjątkowy komfort operatora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Najważniejsze w konstrukcji kombajnów T5 i T6 są komfort i wygoda operatora. Ich przestronna kabina klasy Premium o kubaturze 3,68 m3, znana już z flagowego modelu John Deere X9, zawiera elektryczne domykanie drzwi z uszczelnieniem przeciwpyłowym, a w jej wnętrzu generowane jest nieco wyższe ciśnienie niż na zewnątrz, co zapobiega przedostawaniu się pyłu i zanieczyszczeń do wnętrza kabiny. Opcjonalny fotel ActiveSeatTM II oferuje w pełni regulowane elektroniczne elementy sterujące, kompleksowe chłodzenie i elektroniczne zawieszenie zapewniające najwyższy komfort. Na potrzeby dodatkowych ekranów i urządzeń mobilnych w kabinie znajduje się również 10 wygodnie rozmieszczonych punktów ładowania 12 V i USB. System rozrywkowo-informacyjny oferuje doskonałe możliwości komunikacyjne i dźwiękowe, a także w pełni obsługuje Apple CarPlay i Android Auto. Joystick CommandPROTM to przyjazny dla użytkownika, ergonomiczny i konfigurowalny element sterujący kombajnu, pozwalający łatwo programować i zapisywać różne ustawienia dla różnych operatorów na ekranie dotykowym, na przykład prędkość taśm transportujących w zespołach żniwnych Draper, wysokość nagarniacza lub składanie ślimaka wyładowczego.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Maksymalny czas sprawności operacyjnej</w:t>
      </w:r>
    </w:p>
    <w:p w:rsidR="00000000" w:rsidDel="00000000" w:rsidP="00000000" w:rsidRDefault="00000000" w:rsidRPr="00000000" w14:paraId="0000001C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John Deere dokłada wszelkich starań, aby zapewnić klientom maksymalny czas sprawności operacyjnej, dostarczając 98% części w ciągu 24 godzin. Jeśli terminowa naprawa nie jest możliwa, odpowiedni dealer John Deere udostępni kombajn zastępczy podobnej wielkości, aby zapobiec przerwom w pracach żniwnych klienta.</w:t>
      </w:r>
    </w:p>
    <w:p w:rsidR="00000000" w:rsidDel="00000000" w:rsidP="00000000" w:rsidRDefault="00000000" w:rsidRPr="00000000" w14:paraId="0000001D">
      <w:pPr>
        <w:spacing w:line="276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* Zestawienie modeli </w:t>
      </w:r>
    </w:p>
    <w:p w:rsidR="00000000" w:rsidDel="00000000" w:rsidP="00000000" w:rsidRDefault="00000000" w:rsidRPr="00000000" w14:paraId="0000001F">
      <w:pPr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6.0" w:type="dxa"/>
        <w:jc w:val="left"/>
        <w:tblLayout w:type="fixed"/>
        <w:tblLook w:val="0600"/>
      </w:tblPr>
      <w:tblGrid>
        <w:gridCol w:w="1287"/>
        <w:gridCol w:w="1148"/>
        <w:gridCol w:w="993"/>
        <w:gridCol w:w="983"/>
        <w:gridCol w:w="997"/>
        <w:gridCol w:w="987"/>
        <w:gridCol w:w="993"/>
        <w:gridCol w:w="983"/>
        <w:gridCol w:w="995"/>
        <w:tblGridChange w:id="0">
          <w:tblGrid>
            <w:gridCol w:w="1287"/>
            <w:gridCol w:w="1148"/>
            <w:gridCol w:w="993"/>
            <w:gridCol w:w="983"/>
            <w:gridCol w:w="997"/>
            <w:gridCol w:w="987"/>
            <w:gridCol w:w="993"/>
            <w:gridCol w:w="983"/>
            <w:gridCol w:w="995"/>
          </w:tblGrid>
        </w:tblGridChange>
      </w:tblGrid>
      <w:tr>
        <w:trPr>
          <w:cantSplit w:val="0"/>
          <w:trHeight w:val="859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T5 400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T5 500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T5 600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24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T5 700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24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T6 500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T6 600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T6 700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T6 800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Silnik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John Deere PowerTech PSS 6-cyl.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JD9X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Maksymalna moc silnika (kW/KM)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0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160" w:line="278.00000000000006" w:lineRule="auto"/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224/305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0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160" w:line="278.00000000000006" w:lineRule="auto"/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256/348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0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160" w:line="278.00000000000006" w:lineRule="auto"/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285/387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24" w:val="single"/>
            </w:tcBorders>
            <w:shd w:fill="ffde00" w:val="clear"/>
            <w:tcMar>
              <w:top w:w="15.0" w:type="dxa"/>
              <w:left w:w="15.0" w:type="dxa"/>
              <w:bottom w:w="0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160" w:line="278.00000000000006" w:lineRule="auto"/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310/421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24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0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160" w:line="278.00000000000006" w:lineRule="auto"/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256/348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0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160" w:line="278.00000000000006" w:lineRule="auto"/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285/387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0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160" w:line="278.00000000000006" w:lineRule="auto"/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310/421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0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160" w:line="278.00000000000006" w:lineRule="auto"/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343/466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Liczba wytrząsaczy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24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24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Pojemność zbiornika ziarna (l)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10 000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24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11 500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24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11 000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24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13 500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Pojemność zbiornika paliwa / płynu DEF (l)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800/48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** Opcje upraw HarvestLab</w:t>
      </w: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 </w:t>
      </w:r>
    </w:p>
    <w:p w:rsidR="00000000" w:rsidDel="00000000" w:rsidP="00000000" w:rsidRDefault="00000000" w:rsidRPr="00000000" w14:paraId="0000005A">
      <w:pPr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30.0" w:type="dxa"/>
        <w:jc w:val="left"/>
        <w:tblLayout w:type="fixed"/>
        <w:tblLook w:val="0600"/>
      </w:tblPr>
      <w:tblGrid>
        <w:gridCol w:w="1866"/>
        <w:gridCol w:w="1866"/>
        <w:gridCol w:w="1866"/>
        <w:gridCol w:w="1866"/>
        <w:gridCol w:w="1866"/>
        <w:tblGridChange w:id="0">
          <w:tblGrid>
            <w:gridCol w:w="1866"/>
            <w:gridCol w:w="1866"/>
            <w:gridCol w:w="1866"/>
            <w:gridCol w:w="1866"/>
            <w:gridCol w:w="1866"/>
          </w:tblGrid>
        </w:tblGridChange>
      </w:tblGrid>
      <w:tr>
        <w:trPr>
          <w:cantSplit w:val="0"/>
          <w:trHeight w:val="622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Wilgotność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Białko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Skrobia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Tłuszcz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Pszenica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Jęczmień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Rzepak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Kukurydza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67c2b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ffff"/>
                <w:sz w:val="18"/>
                <w:szCs w:val="18"/>
                <w:rtl w:val="0"/>
              </w:rPr>
              <w:t xml:space="preserve">Soja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de00" w:val="clear"/>
            <w:tcMar>
              <w:top w:w="15.0" w:type="dxa"/>
              <w:left w:w="15.0" w:type="dxa"/>
              <w:bottom w:w="72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800350" cy="33020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800350" cy="330200"/>
                <wp:effectExtent b="0" l="0" r="0" t="0"/>
                <wp:wrapNone/>
                <wp:docPr id="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00350" cy="330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28581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5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84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85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8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88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8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8A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8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8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8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Times New Roman"/>
  <w:font w:name="Verdana"/>
  <w:font w:name="jd san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10160000</wp:posOffset>
              </wp:positionV>
              <wp:extent cx="7618095" cy="3302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10160000</wp:posOffset>
              </wp:positionV>
              <wp:extent cx="7618095" cy="33020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18095" cy="3302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3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90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-63494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4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91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2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3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94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95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96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7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98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9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ny" w:default="1">
    <w:name w:val="Normal"/>
    <w:qFormat w:val="1"/>
  </w:style>
  <w:style w:type="paragraph" w:styleId="Nagwek1">
    <w:name w:val="heading 1"/>
    <w:basedOn w:val="Normalny"/>
    <w:next w:val="Normalny"/>
    <w:uiPriority w:val="9"/>
    <w:qFormat w:val="1"/>
    <w:pPr>
      <w:keepNext w:val="1"/>
      <w:outlineLvl w:val="0"/>
    </w:pPr>
    <w:rPr>
      <w:rFonts w:ascii="Arial" w:cs="Arial" w:eastAsia="Arial" w:hAnsi="Arial"/>
      <w:b w:val="1"/>
      <w:sz w:val="24"/>
      <w:szCs w:val="24"/>
    </w:rPr>
  </w:style>
  <w:style w:type="paragraph" w:styleId="Nagwek2">
    <w:name w:val="heading 2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="Calibri" w:cs="Calibri" w:eastAsia="Calibri" w:hAnsi="Calibri"/>
      <w:color w:val="2f5496"/>
      <w:sz w:val="26"/>
      <w:szCs w:val="26"/>
    </w:rPr>
  </w:style>
  <w:style w:type="paragraph" w:styleId="Nagwek3">
    <w:name w:val="heading 3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="Calibri" w:cs="Calibri" w:eastAsia="Calibri" w:hAnsi="Calibri"/>
      <w:color w:val="1f3863"/>
      <w:sz w:val="24"/>
      <w:szCs w:val="24"/>
    </w:rPr>
  </w:style>
  <w:style w:type="paragraph" w:styleId="Nagwek4">
    <w:name w:val="heading 4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sz w:val="26"/>
      <w:szCs w:val="26"/>
    </w:rPr>
  </w:style>
  <w:style w:type="paragraph" w:styleId="Nagwek5">
    <w:name w:val="heading 5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="Calibri" w:cs="Calibri" w:eastAsia="Calibri" w:hAnsi="Calibri"/>
      <w:color w:val="2f5496"/>
    </w:rPr>
  </w:style>
  <w:style w:type="paragraph" w:styleId="Nagwek6">
    <w:name w:val="heading 6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sz w:val="22"/>
      <w:szCs w:val="22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Tytu">
    <w:name w:val="Title"/>
    <w:basedOn w:val="Normalny"/>
    <w:next w:val="Normalny"/>
    <w:uiPriority w:val="10"/>
    <w:qFormat w:val="1"/>
    <w:pPr>
      <w:spacing w:after="200" w:before="300"/>
    </w:pPr>
    <w:rPr>
      <w:sz w:val="48"/>
      <w:szCs w:val="48"/>
    </w:rPr>
  </w:style>
  <w:style w:type="paragraph" w:styleId="Podtytu">
    <w:name w:val="Subtitle"/>
    <w:basedOn w:val="Normalny"/>
    <w:next w:val="Normalny"/>
    <w:uiPriority w:val="11"/>
    <w:qFormat w:val="1"/>
    <w:pPr>
      <w:spacing w:after="200" w:before="200"/>
    </w:pPr>
    <w:rPr>
      <w:sz w:val="24"/>
      <w:szCs w:val="24"/>
    </w:rPr>
  </w:style>
  <w:style w:type="table" w:styleId="a" w:customStyle="1">
    <w:basedOn w:val="Standardowy"/>
    <w:rPr>
      <w:color w:val="404040"/>
    </w:rPr>
    <w:tblPr>
      <w:tblStyleRowBandSize w:val="1"/>
      <w:tblStyleColBandSize w:val="1"/>
      <w:tblCellMar>
        <w:left w:w="198.0" w:type="dxa"/>
        <w:right w:w="198.0" w:type="dxa"/>
      </w:tblCellMar>
    </w:tblPr>
    <w:tcPr>
      <w:shd w:color="auto" w:fill="a9d08e" w:val="clear"/>
    </w:tcPr>
  </w:style>
  <w:style w:type="table" w:styleId="a0" w:customStyle="1">
    <w:basedOn w:val="Standardowy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Poprawka">
    <w:name w:val="Revision"/>
    <w:hidden w:val="1"/>
    <w:uiPriority w:val="99"/>
    <w:semiHidden w:val="1"/>
    <w:rsid w:val="00237908"/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2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3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IzAKkVizWs+Wj1ExJSbcSJMv8w==">CgMxLjA4AHIhMXE3TDYxQ1Zhc1l6YURjejZvdXRFY1Q2cENQbU9LR29I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2024-05-22T12:52:00Z</dcterms:created>
  <dc:creator>Bartosz Bialas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