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right"/>
        <w:rPr>
          <w:rFonts w:ascii="Verdana" w:hAnsi="Verdana" w:cs="Verdana" w:eastAsia="Verdana"/>
          <w:b/>
          <w:color w:val="000000"/>
          <w:spacing w:val="0"/>
          <w:position w:val="0"/>
          <w:sz w:val="32"/>
          <w:shd w:fill="FFFFFF" w:val="clear"/>
        </w:rPr>
      </w:pPr>
      <w:r>
        <w:rPr>
          <w:rFonts w:ascii="Verdana" w:hAnsi="Verdana" w:cs="Verdana" w:eastAsia="Verdana"/>
          <w:b/>
          <w:color w:val="000000"/>
          <w:spacing w:val="0"/>
          <w:position w:val="0"/>
          <w:sz w:val="32"/>
          <w:shd w:fill="FFFFFF" w:val="clear"/>
        </w:rPr>
        <w:t xml:space="preserve">Komunikat prasowy</w:t>
      </w:r>
    </w:p>
    <w:p>
      <w:pPr>
        <w:spacing w:before="0" w:after="160" w:line="36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u w:val="single"/>
          <w:shd w:fill="auto" w:val="clear"/>
        </w:rPr>
        <w:t xml:space="preserve">Nowa rodzina wy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u w:val="single"/>
          <w:shd w:fill="auto" w:val="clear"/>
        </w:rPr>
        <w:t xml:space="preserve">świetlaczy John Deere G5</w:t>
      </w:r>
    </w:p>
    <w:p>
      <w:pPr>
        <w:spacing w:before="0" w:after="160" w:line="240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36"/>
          <w:shd w:fill="auto" w:val="clear"/>
        </w:rPr>
        <w:t xml:space="preserve">John Deere modernizuje technologi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36"/>
          <w:shd w:fill="auto" w:val="clear"/>
        </w:rPr>
        <w:t xml:space="preserve">ę rolnictwa precyzyjnego</w:t>
      </w:r>
    </w:p>
    <w:p>
      <w:pPr>
        <w:spacing w:before="0" w:after="160" w:line="276"/>
        <w:ind w:right="0" w:left="0" w:firstLine="0"/>
        <w:jc w:val="both"/>
        <w:rPr>
          <w:rFonts w:ascii="Verdana" w:hAnsi="Verdana" w:cs="Verdana" w:eastAsia="Verdana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76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i/>
          <w:color w:val="auto"/>
          <w:spacing w:val="0"/>
          <w:position w:val="0"/>
          <w:sz w:val="22"/>
          <w:shd w:fill="auto" w:val="clear"/>
        </w:rPr>
        <w:t xml:space="preserve">Walldorf, 2 marca 2023 r. 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John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 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Deere od wielu lat oferuje niezawodn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ą i wydajną technologię rolnictwa precyzyjnego. W 2023 r. zostanie przeprowadzona modernizacja wszystkich istotnych zaawansowanych urządzeń w celu przygotowania ich na przyszłość. Ważnymi elementami są zupełnie nowa rodzina wyświetlaczy John Deere G5 oraz nowy modem JDLink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  <w:vertAlign w:val="superscript"/>
        </w:rPr>
        <w:t xml:space="preserve">TM 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M. Dzięki aktualizacji technologia rolnictwa precyzyjnego John Deere stanie się szybsza, bardziej zaawansowana i przystępniejsza cenowo dla każdego rolnika i usługodawcy.</w:t>
      </w:r>
    </w:p>
    <w:p>
      <w:pPr>
        <w:spacing w:before="0" w:after="160" w:line="276"/>
        <w:ind w:right="0" w:left="0" w:firstLine="0"/>
        <w:jc w:val="both"/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Nowa rodzina wy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świetlaczy John Deere G5</w:t>
      </w:r>
    </w:p>
    <w:p>
      <w:pPr>
        <w:spacing w:before="0" w:after="160" w:line="276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Wraz z zupe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łnie nową rodziną wyświetlaczy G5 firma John Deere przekazuje najnowocześniejszą technologię wprost w ręce klient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ów. Dzi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ęki rozdzielczości Full HD, dodatkowej pamięci i większej mocy obliczeniowej model G5 jest jednym z najbardziej zaawansowanych wyświetlaczy na rynku. Dostępny jest w dw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óch wersjach przeno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śnych, kt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óre mog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ą wsp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łpracować ze sprzętem wszystkich marek, ma dwa zintegrowane monitory przeznaczone do konkretnych maszyn John Deere oraz obsługuje opcję dualnego monitora. Wyświetlacz G5 ma przekątną 10,1 cala, a model G5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  <w:vertAlign w:val="superscript"/>
        </w:rPr>
        <w:t xml:space="preserve">PLUS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12,8 cala, co oznacza, 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że w por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ównaniu ze swoimi poprzednikami rodzina wy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świetlaczy G5 zapewnia do 33% więcej miejsca na mapy i informacje. Oba przenośne wyświetlacze są wodoodporne (IP65), a więc lepiej chronione. John Deere G5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  <w:vertAlign w:val="superscript"/>
        </w:rPr>
        <w:t xml:space="preserve">Plus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standardowo wyposażony jest w AutoTrac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™ i system sterowania sekcjami. Utrzymana zosta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ła pełna zgodność z protokołem AEF ISOBUS.</w:t>
      </w:r>
    </w:p>
    <w:p>
      <w:pPr>
        <w:spacing w:before="0" w:after="160" w:line="276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We wszystkich wy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świetlaczach G5 nadal wykorzystywany jest niezawodny interfejs użytkownika dobrze znany z wyświetlaczy 4. generacji. Połączenie nowoczesnej technologii ze znajomym interfejsem zapewnia natychmiastowe zwiększenie wydajności bez konieczności czasochłonnego poznawania nowego sprzętu. Nowy program udzielania licencji na zaawansowane funkcje umożliwia rolnikom i usługodawcom płacenie tylko za to, czego potrzebują, co z kolei obniża koszty początkowe. Regularnie opracowywane aktualizacje oprogramowania zapewniają, że rodzina wyświetlaczy G5 już dziś przygotowana jest do przyszłych wyzwań.</w:t>
      </w:r>
    </w:p>
    <w:p>
      <w:pPr>
        <w:spacing w:before="0" w:after="160" w:line="276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76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Wy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świetlacze G5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  <w:vertAlign w:val="superscript"/>
        </w:rPr>
        <w:t xml:space="preserve">PLUS 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Universal i G5 Universal będzie można zam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ówi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ć jeszcze w tym roku. Modele G5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  <w:vertAlign w:val="superscript"/>
        </w:rPr>
        <w:t xml:space="preserve">Plus 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CommandCenter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  <w:vertAlign w:val="superscript"/>
        </w:rPr>
        <w:t xml:space="preserve">TM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i G5 CommandCenter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  <w:vertAlign w:val="superscript"/>
        </w:rPr>
        <w:t xml:space="preserve">TM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dostępne będą w maszynach John Deere od roku modelowego 2024.</w:t>
      </w:r>
    </w:p>
    <w:p>
      <w:pPr>
        <w:spacing w:before="0" w:after="160" w:line="276"/>
        <w:ind w:right="0" w:left="0" w:firstLine="0"/>
        <w:jc w:val="both"/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Nowy modem John Deere JDLink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  <w:vertAlign w:val="superscript"/>
        </w:rPr>
        <w:t xml:space="preserve">TM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 M i R</w:t>
      </w:r>
    </w:p>
    <w:p>
      <w:pPr>
        <w:spacing w:before="0" w:after="160" w:line="276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Rolnicy i us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ługodawcy dysponujący mieszaną flotą sprzętu nadal mogą korzystać z łączności między maszynami a chmurą. Zupełnie nowy modem JDLink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  <w:vertAlign w:val="superscript"/>
        </w:rPr>
        <w:t xml:space="preserve">TM 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M jest przystępną cenowo alternatywą wobec dobrze znanego modelu JDLink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  <w:vertAlign w:val="superscript"/>
        </w:rPr>
        <w:t xml:space="preserve">TM 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R. Jako urządzenie typu 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plug and play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”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modem JDLink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  <w:vertAlign w:val="superscript"/>
        </w:rPr>
        <w:t xml:space="preserve">TM 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M pozwala bez trudu w pe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łni wyekwipować mieszane floty sprzętu. Wersje JDLink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  <w:vertAlign w:val="superscript"/>
        </w:rPr>
        <w:t xml:space="preserve">TM 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M i R są zgodne z protokołem SAE J1939 i mogą wykorzystywać ponad 14 punkt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ów danych z maszyn ró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żnych marek. Dzięki tej kompatybilności do zarządzania całą mieszaną flotą maszyn wystarczy jeden portal: John Deere Operations Center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  <w:vertAlign w:val="superscript"/>
        </w:rPr>
        <w:t xml:space="preserve">TM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160" w:line="276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John Deere StarFire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  <w:vertAlign w:val="superscript"/>
        </w:rPr>
        <w:t xml:space="preserve">TM 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7000</w:t>
      </w:r>
    </w:p>
    <w:p>
      <w:pPr>
        <w:spacing w:before="0" w:after="160" w:line="276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Odbiornik John Deere StarFire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  <w:vertAlign w:val="superscript"/>
        </w:rPr>
        <w:t xml:space="preserve">TM 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7000 wprowadzono na rynek w zesz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łym roku wraz z nowym sygnałem StarFire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™ RTK. Dok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ładność RTK wynosząca 2,5 cm i czas aktywacji nieprzekraczający 8 minut oznaczają, że nowy sygnał StarFire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  <w:vertAlign w:val="superscript"/>
        </w:rPr>
        <w:t xml:space="preserve">TM 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RTK zapewnia bardzo atrakcyjne wejście w technologię RTK. Łączność w systemie John Deere StarFire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  <w:vertAlign w:val="superscript"/>
        </w:rPr>
        <w:t xml:space="preserve">TM 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7000 działa jeszcze lepiej niż w poprzednich generacjach ze względu na dodanie sygnał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ów satelitarnych Galileo i Beidou. Odbiorniki John Deere StarFire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  <w:vertAlign w:val="superscript"/>
        </w:rPr>
        <w:t xml:space="preserve">TM 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7000 ju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ż są dostępne i można składać na nie zam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ówienia, a dostawy w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łaśnie się rozpoczynają. </w:t>
      </w:r>
    </w:p>
    <w:p>
      <w:pPr>
        <w:spacing w:before="0" w:after="160" w:line="276"/>
        <w:ind w:right="0" w:left="0" w:firstLine="0"/>
        <w:jc w:val="both"/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John Deere Operations Center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  <w:vertAlign w:val="superscript"/>
        </w:rPr>
        <w:t xml:space="preserve">TM</w:t>
      </w:r>
    </w:p>
    <w:p>
      <w:pPr>
        <w:spacing w:before="0" w:after="160" w:line="276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JDLink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  <w:vertAlign w:val="superscript"/>
        </w:rPr>
        <w:t xml:space="preserve">TM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zapewnia bezp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łatną dwukierunkową łączność pozwalającą na automatyczne przesyłanie danych o uprawach i maszynach do John Deere Operations Center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™. System Operations Center jest nieprzerwanie aktualizowany, modernizowany i dostosowywany do przysz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łych potrzeb. Nadal też będzie bezpłatnie dostępny na urządzeniach mobilnych oraz przez przeglądarkę. </w:t>
      </w:r>
    </w:p>
    <w:p>
      <w:pPr>
        <w:spacing w:before="0" w:after="160" w:line="276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Nowe niezb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ędne elementy technologii rolnictwa precyzyjnego John Deere sprawiają, że inteligentne rolnictwo wymaga od klient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ów mniejszego wysi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łku. Technologia ta będzie coraz prostsza w użyciu i coraz bardziej zautomatyzowana 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i ju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ż teraz nie sprawia żadnych problem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ów. Dzi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ęki wszystkim dostępnym funkcjom oraz zaawansowanej obsłudze i doświadczeniu oferowanym przez lokalnych dealer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ów praca rolników i us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ługodawc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ów jest teraz bardziej wydajna, zyskowna i zrównowa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żona.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